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2CB88" w14:textId="59D1E06F" w:rsidR="00063E15" w:rsidRPr="00462DFC" w:rsidRDefault="00063E15" w:rsidP="008314D1">
      <w:pPr>
        <w:pStyle w:val="Title"/>
        <w:pBdr>
          <w:bottom w:val="double" w:sz="6" w:space="0" w:color="auto"/>
        </w:pBdr>
      </w:pPr>
      <w:r w:rsidRPr="00462DFC">
        <w:t>М И Н И С Т Е Р С Т В О   Н А   Ф И Н А Н С И Т Е</w:t>
      </w:r>
    </w:p>
    <w:p w14:paraId="1096FFB8" w14:textId="77777777" w:rsidR="005F7245" w:rsidRPr="00462DFC" w:rsidRDefault="005F7245" w:rsidP="00063E15">
      <w:pPr>
        <w:rPr>
          <w:sz w:val="16"/>
          <w:szCs w:val="16"/>
        </w:rPr>
      </w:pPr>
    </w:p>
    <w:p w14:paraId="0BDCEB1F" w14:textId="77777777" w:rsidR="0019151C" w:rsidRPr="00462DFC" w:rsidRDefault="0019151C" w:rsidP="0019151C"/>
    <w:p w14:paraId="3534BD5C" w14:textId="77777777" w:rsidR="00E10331" w:rsidRPr="00462DFC" w:rsidRDefault="00E10331" w:rsidP="0019151C"/>
    <w:p w14:paraId="435135A2" w14:textId="77777777" w:rsidR="00E9260C" w:rsidRPr="00462DFC" w:rsidRDefault="00E9260C" w:rsidP="009B536C">
      <w:pPr>
        <w:pStyle w:val="Heading1"/>
        <w:rPr>
          <w:sz w:val="24"/>
        </w:rPr>
      </w:pPr>
      <w:r w:rsidRPr="00462DFC">
        <w:rPr>
          <w:sz w:val="24"/>
        </w:rPr>
        <w:t>ИНФОРМАЦИЯ</w:t>
      </w:r>
    </w:p>
    <w:p w14:paraId="1D835F12" w14:textId="77777777" w:rsidR="00E9260C" w:rsidRPr="00462DFC" w:rsidRDefault="00E9260C" w:rsidP="009B536C">
      <w:pPr>
        <w:jc w:val="center"/>
        <w:rPr>
          <w:b/>
          <w:bCs/>
        </w:rPr>
      </w:pPr>
      <w:r w:rsidRPr="00462DFC">
        <w:rPr>
          <w:b/>
          <w:bCs/>
        </w:rPr>
        <w:t xml:space="preserve">ЗА </w:t>
      </w:r>
      <w:r w:rsidR="004E7BF8" w:rsidRPr="00462DFC">
        <w:rPr>
          <w:b/>
          <w:bCs/>
        </w:rPr>
        <w:t xml:space="preserve">КАСОВОТО </w:t>
      </w:r>
      <w:r w:rsidRPr="00462DFC">
        <w:rPr>
          <w:b/>
          <w:bCs/>
        </w:rPr>
        <w:t xml:space="preserve">ИЗПЪЛНЕНИЕ НА </w:t>
      </w:r>
      <w:r w:rsidR="004E7BF8" w:rsidRPr="00462DFC">
        <w:rPr>
          <w:b/>
          <w:bCs/>
        </w:rPr>
        <w:t>ДЪРЖАВНИЯ</w:t>
      </w:r>
      <w:r w:rsidRPr="00462DFC">
        <w:rPr>
          <w:b/>
          <w:bCs/>
        </w:rPr>
        <w:t xml:space="preserve"> БЮДЖЕТ</w:t>
      </w:r>
      <w:r w:rsidR="004E7BF8" w:rsidRPr="00462DFC">
        <w:rPr>
          <w:b/>
          <w:bCs/>
        </w:rPr>
        <w:t xml:space="preserve"> И НА ОСНОВНИТЕ ПОКАЗАТЕЛИ НА КОНСОЛИДИРАНАТА ФИСКАЛНА ПРОГРАМА </w:t>
      </w:r>
    </w:p>
    <w:p w14:paraId="53E2F980" w14:textId="5198A723" w:rsidR="003F47AB" w:rsidRPr="00462DFC" w:rsidRDefault="003F47AB" w:rsidP="003F47AB">
      <w:pPr>
        <w:jc w:val="center"/>
        <w:rPr>
          <w:b/>
          <w:bCs/>
        </w:rPr>
      </w:pPr>
      <w:r w:rsidRPr="00462DFC">
        <w:rPr>
          <w:b/>
          <w:bCs/>
        </w:rPr>
        <w:t xml:space="preserve">ЗА </w:t>
      </w:r>
      <w:r w:rsidR="00462DFC" w:rsidRPr="00462DFC">
        <w:rPr>
          <w:b/>
          <w:bCs/>
        </w:rPr>
        <w:t xml:space="preserve">ПЪРВОТО ПОЛУГОДИЕ </w:t>
      </w:r>
      <w:r w:rsidRPr="00462DFC">
        <w:rPr>
          <w:b/>
          <w:bCs/>
        </w:rPr>
        <w:t>НА 20</w:t>
      </w:r>
      <w:r w:rsidR="006D5D56" w:rsidRPr="00462DFC">
        <w:rPr>
          <w:b/>
          <w:bCs/>
        </w:rPr>
        <w:t>2</w:t>
      </w:r>
      <w:r w:rsidR="005C4F64" w:rsidRPr="00462DFC">
        <w:rPr>
          <w:b/>
          <w:bCs/>
        </w:rPr>
        <w:t>3</w:t>
      </w:r>
      <w:r w:rsidRPr="00462DFC">
        <w:rPr>
          <w:b/>
          <w:bCs/>
        </w:rPr>
        <w:t xml:space="preserve"> ГОДИНА</w:t>
      </w:r>
    </w:p>
    <w:p w14:paraId="458A73AC" w14:textId="77777777" w:rsidR="00430A35" w:rsidRPr="0055349C" w:rsidRDefault="00430A35" w:rsidP="003A06C5">
      <w:pPr>
        <w:rPr>
          <w:b/>
          <w:bCs/>
          <w:color w:val="0070C0"/>
        </w:rPr>
      </w:pPr>
    </w:p>
    <w:p w14:paraId="6B8474F5" w14:textId="77777777" w:rsidR="00E10331" w:rsidRPr="0055349C" w:rsidRDefault="00E10331" w:rsidP="003A06C5">
      <w:pPr>
        <w:rPr>
          <w:b/>
          <w:bCs/>
          <w:color w:val="0070C0"/>
        </w:rPr>
      </w:pPr>
    </w:p>
    <w:p w14:paraId="5387D549" w14:textId="77777777" w:rsidR="00E10331" w:rsidRPr="0055349C" w:rsidRDefault="00E10331" w:rsidP="003A06C5">
      <w:pPr>
        <w:rPr>
          <w:b/>
          <w:bCs/>
          <w:color w:val="0070C0"/>
        </w:rPr>
      </w:pPr>
    </w:p>
    <w:p w14:paraId="02CED22A" w14:textId="77777777" w:rsidR="006B5C2D" w:rsidRPr="000756FB" w:rsidRDefault="006B5C2D" w:rsidP="006B5C2D">
      <w:pPr>
        <w:keepNext/>
        <w:keepLines/>
        <w:spacing w:before="40"/>
        <w:jc w:val="both"/>
        <w:outlineLvl w:val="2"/>
        <w:rPr>
          <w:b/>
          <w:u w:val="single"/>
          <w:lang w:eastAsia="bg-BG"/>
        </w:rPr>
      </w:pPr>
      <w:bookmarkStart w:id="0" w:name="_Toc109903428"/>
      <w:r w:rsidRPr="000756FB">
        <w:rPr>
          <w:b/>
          <w:u w:val="single"/>
          <w:lang w:eastAsia="bg-BG"/>
        </w:rPr>
        <w:t>Развитие на икономическата среда</w:t>
      </w:r>
    </w:p>
    <w:p w14:paraId="7DF131E7" w14:textId="1446AE26" w:rsidR="000756FB" w:rsidRPr="00A94CA7" w:rsidRDefault="000756FB" w:rsidP="000756FB">
      <w:pPr>
        <w:spacing w:before="120" w:after="120"/>
        <w:jc w:val="both"/>
      </w:pPr>
      <w:r>
        <w:t>През първото тримесечие на 2023</w:t>
      </w:r>
      <w:r w:rsidRPr="005C6394">
        <w:t> </w:t>
      </w:r>
      <w:r w:rsidRPr="00A94CA7">
        <w:t>г. растежът на БВП бе 2,1</w:t>
      </w:r>
      <w:r w:rsidR="001B09A8" w:rsidRPr="005217E8">
        <w:rPr>
          <w:lang w:val="ru-RU"/>
        </w:rPr>
        <w:t xml:space="preserve"> </w:t>
      </w:r>
      <w:r w:rsidRPr="00A94CA7">
        <w:t xml:space="preserve">% с положителен принос от нетния износ. </w:t>
      </w:r>
      <w:r>
        <w:t>Нарастването</w:t>
      </w:r>
      <w:r w:rsidRPr="00A94CA7">
        <w:t xml:space="preserve"> на износа на стоки и услуги достигна 2,3</w:t>
      </w:r>
      <w:r w:rsidR="001B09A8" w:rsidRPr="005217E8">
        <w:rPr>
          <w:lang w:val="ru-RU"/>
        </w:rPr>
        <w:t xml:space="preserve"> </w:t>
      </w:r>
      <w:r w:rsidRPr="00A94CA7">
        <w:t>%, докато вносът намаля с 1,5</w:t>
      </w:r>
      <w:r w:rsidR="001B09A8" w:rsidRPr="005217E8">
        <w:rPr>
          <w:lang w:val="ru-RU"/>
        </w:rPr>
        <w:t xml:space="preserve"> </w:t>
      </w:r>
      <w:r w:rsidRPr="00A94CA7">
        <w:t>%. Растежът на потреблението на домакинствата се забави до 1,5</w:t>
      </w:r>
      <w:r w:rsidR="001B09A8" w:rsidRPr="005217E8">
        <w:rPr>
          <w:lang w:val="ru-RU"/>
        </w:rPr>
        <w:t xml:space="preserve"> </w:t>
      </w:r>
      <w:r w:rsidRPr="00A94CA7">
        <w:t>% в съответствие с по-слабото увеличение на реалния разполагаем доход на домакинствата. Инвестициите в основен капитал нараснаха с 5,4</w:t>
      </w:r>
      <w:r w:rsidR="001B09A8" w:rsidRPr="005217E8">
        <w:rPr>
          <w:lang w:val="ru-RU"/>
        </w:rPr>
        <w:t xml:space="preserve"> </w:t>
      </w:r>
      <w:r w:rsidRPr="00A94CA7">
        <w:t>%, като основен принос имаха машини</w:t>
      </w:r>
      <w:r w:rsidR="0009519B">
        <w:t>те</w:t>
      </w:r>
      <w:r w:rsidRPr="00A94CA7">
        <w:t xml:space="preserve"> и оборудване</w:t>
      </w:r>
      <w:r w:rsidR="0009519B">
        <w:t>то</w:t>
      </w:r>
      <w:r w:rsidRPr="00A94CA7">
        <w:t>. В същото време</w:t>
      </w:r>
      <w:r w:rsidRPr="005C6394">
        <w:t>,</w:t>
      </w:r>
      <w:r w:rsidRPr="00A94CA7">
        <w:t xml:space="preserve"> изменението на запасите имаше отрицателен принос за растежа на БВП от 2,1 пр.</w:t>
      </w:r>
      <w:r w:rsidR="001B09A8" w:rsidRPr="005217E8">
        <w:rPr>
          <w:lang w:val="ru-RU"/>
        </w:rPr>
        <w:t xml:space="preserve"> </w:t>
      </w:r>
      <w:r w:rsidRPr="00A94CA7">
        <w:t xml:space="preserve">п. </w:t>
      </w:r>
      <w:r>
        <w:t>К</w:t>
      </w:r>
      <w:r w:rsidRPr="00A94CA7">
        <w:t>раткосрочните индикатори</w:t>
      </w:r>
      <w:r>
        <w:t xml:space="preserve"> дават основание да се очаква</w:t>
      </w:r>
      <w:r w:rsidRPr="00A94CA7">
        <w:t xml:space="preserve"> забавяне на икономическия растеж през второто тримесечие. Средно за април и май бе отчетен спад на промишленото производство от 11,2</w:t>
      </w:r>
      <w:r w:rsidR="001B09A8" w:rsidRPr="005217E8">
        <w:rPr>
          <w:lang w:val="ru-RU"/>
        </w:rPr>
        <w:t xml:space="preserve"> </w:t>
      </w:r>
      <w:r w:rsidRPr="00A94CA7">
        <w:t>%</w:t>
      </w:r>
      <w:r>
        <w:t>,</w:t>
      </w:r>
      <w:r w:rsidRPr="00A94CA7">
        <w:t xml:space="preserve"> при намаление от 4,7</w:t>
      </w:r>
      <w:r w:rsidR="001B09A8" w:rsidRPr="005217E8">
        <w:rPr>
          <w:lang w:val="ru-RU"/>
        </w:rPr>
        <w:t xml:space="preserve"> </w:t>
      </w:r>
      <w:r w:rsidRPr="00A94CA7">
        <w:t>% за първо тримесечие.</w:t>
      </w:r>
    </w:p>
    <w:p w14:paraId="2914692D" w14:textId="1888CC79" w:rsidR="000756FB" w:rsidRDefault="000756FB" w:rsidP="000756FB">
      <w:pPr>
        <w:spacing w:after="120"/>
        <w:jc w:val="both"/>
      </w:pPr>
      <w:r w:rsidRPr="00A94CA7">
        <w:t>Броят на заетите (според ЕСС 2010) през пъ</w:t>
      </w:r>
      <w:r>
        <w:t>рвото тримесечие на 2023</w:t>
      </w:r>
      <w:r w:rsidRPr="005C6394">
        <w:t> </w:t>
      </w:r>
      <w:r>
        <w:t>г. бе 3</w:t>
      </w:r>
      <w:r w:rsidRPr="005C6394">
        <w:t> </w:t>
      </w:r>
      <w:r w:rsidRPr="00A94CA7">
        <w:t>428 хил. души</w:t>
      </w:r>
      <w:r>
        <w:t xml:space="preserve">, като </w:t>
      </w:r>
      <w:r w:rsidRPr="00A94CA7">
        <w:t>нараства на г</w:t>
      </w:r>
      <w:r>
        <w:t>одишна база с 1,8</w:t>
      </w:r>
      <w:r w:rsidR="00B6277B" w:rsidRPr="005217E8">
        <w:rPr>
          <w:lang w:val="ru-RU"/>
        </w:rPr>
        <w:t xml:space="preserve"> </w:t>
      </w:r>
      <w:r w:rsidRPr="00A94CA7">
        <w:t>%. Ръст в броя на заетите се наблюдава</w:t>
      </w:r>
      <w:r>
        <w:t xml:space="preserve"> във всички икономически сектори</w:t>
      </w:r>
      <w:r w:rsidRPr="00A94CA7">
        <w:t xml:space="preserve"> без аграрния.</w:t>
      </w:r>
      <w:r>
        <w:t xml:space="preserve"> </w:t>
      </w:r>
      <w:r w:rsidRPr="00A94CA7">
        <w:t xml:space="preserve">Коефициентът на безработица </w:t>
      </w:r>
      <w:r>
        <w:t>в страната се запази нисък, 4,4</w:t>
      </w:r>
      <w:r w:rsidR="00B6277B" w:rsidRPr="005217E8">
        <w:rPr>
          <w:lang w:val="ru-RU"/>
        </w:rPr>
        <w:t xml:space="preserve"> </w:t>
      </w:r>
      <w:r w:rsidRPr="00A94CA7">
        <w:t>% за първото тримесечие на 2023 г. според Наблюдението на работната сила, което е с 1,9 пр.</w:t>
      </w:r>
      <w:r w:rsidR="00B6277B" w:rsidRPr="005217E8">
        <w:rPr>
          <w:lang w:val="ru-RU"/>
        </w:rPr>
        <w:t xml:space="preserve"> </w:t>
      </w:r>
      <w:r w:rsidRPr="00A94CA7">
        <w:t>п. по-ниско от стойността на индикатора за ЕС-27. Броят на регистрираните безработни в АЗ отчита постоянна тенденция на намаление от началото на годината и се движи около нивата, наблюдавани през предходната година.</w:t>
      </w:r>
    </w:p>
    <w:p w14:paraId="0F139960" w14:textId="772EB032" w:rsidR="000756FB" w:rsidRDefault="000756FB" w:rsidP="000756FB">
      <w:pPr>
        <w:spacing w:after="120"/>
        <w:jc w:val="both"/>
      </w:pPr>
      <w:r w:rsidRPr="00FB0CCF">
        <w:t>През първото тримесечие на 2023 г. номиналното нарастване на средната работна з</w:t>
      </w:r>
      <w:r>
        <w:t>аплата в страната достигна 17,3</w:t>
      </w:r>
      <w:r w:rsidR="00B6277B" w:rsidRPr="005217E8">
        <w:rPr>
          <w:lang w:val="ru-RU"/>
        </w:rPr>
        <w:t xml:space="preserve"> </w:t>
      </w:r>
      <w:r w:rsidRPr="00FB0CCF">
        <w:t>% на годишна база. Този темп бе близък до отчетения пре</w:t>
      </w:r>
      <w:r>
        <w:t>з последното тримесечие на 2022</w:t>
      </w:r>
      <w:r w:rsidRPr="005C6394">
        <w:t> </w:t>
      </w:r>
      <w:r>
        <w:t>г., а спрямо година по-рано б</w:t>
      </w:r>
      <w:r w:rsidRPr="00FB0CCF">
        <w:t>е на</w:t>
      </w:r>
      <w:r>
        <w:t xml:space="preserve">блюдавано ускорение, </w:t>
      </w:r>
      <w:r w:rsidRPr="00FB0CCF">
        <w:t>об</w:t>
      </w:r>
      <w:r>
        <w:t>условено както от частния (17,5</w:t>
      </w:r>
      <w:r w:rsidR="00B6277B" w:rsidRPr="005217E8">
        <w:rPr>
          <w:lang w:val="ru-RU"/>
        </w:rPr>
        <w:t xml:space="preserve"> </w:t>
      </w:r>
      <w:r w:rsidRPr="00FB0CCF">
        <w:t>%), так</w:t>
      </w:r>
      <w:r>
        <w:t>а и от обществения сектор (16,5</w:t>
      </w:r>
      <w:r w:rsidR="00B6277B" w:rsidRPr="005217E8">
        <w:rPr>
          <w:lang w:val="ru-RU"/>
        </w:rPr>
        <w:t xml:space="preserve"> </w:t>
      </w:r>
      <w:r>
        <w:t>%). Р</w:t>
      </w:r>
      <w:r w:rsidRPr="00FB0CCF">
        <w:t xml:space="preserve">еалният темп на растеж, </w:t>
      </w:r>
      <w:r>
        <w:t>дефлиран с ХИПЦ, възлезе на 3,4</w:t>
      </w:r>
      <w:r w:rsidR="00B6277B" w:rsidRPr="005217E8">
        <w:rPr>
          <w:lang w:val="ru-RU"/>
        </w:rPr>
        <w:t xml:space="preserve"> </w:t>
      </w:r>
      <w:r w:rsidRPr="00FB0CCF">
        <w:t xml:space="preserve">%. </w:t>
      </w:r>
      <w:r>
        <w:t>През първото тримесечие на 2023</w:t>
      </w:r>
      <w:r w:rsidRPr="005C6394">
        <w:t> </w:t>
      </w:r>
      <w:r w:rsidRPr="00FB0CCF">
        <w:t>г., реалната производителност на труда общо в икономиката се забави до 0</w:t>
      </w:r>
      <w:r>
        <w:t>,</w:t>
      </w:r>
      <w:r w:rsidRPr="00FB0CCF">
        <w:t>3</w:t>
      </w:r>
      <w:r w:rsidR="00B6277B" w:rsidRPr="005217E8">
        <w:rPr>
          <w:lang w:val="ru-RU"/>
        </w:rPr>
        <w:t xml:space="preserve"> </w:t>
      </w:r>
      <w:r w:rsidRPr="00FB0CCF">
        <w:t xml:space="preserve">% на годишна база, като преработващата промишленост продължи да </w:t>
      </w:r>
      <w:r>
        <w:t>нараства със стабилен темп (4,1</w:t>
      </w:r>
      <w:r w:rsidR="00B6277B" w:rsidRPr="005217E8">
        <w:rPr>
          <w:lang w:val="ru-RU"/>
        </w:rPr>
        <w:t xml:space="preserve"> </w:t>
      </w:r>
      <w:r w:rsidRPr="00FB0CCF">
        <w:t>%), дори след постигането на рек</w:t>
      </w:r>
      <w:r>
        <w:t>ордно висока стойност през 2022</w:t>
      </w:r>
      <w:r w:rsidRPr="005C6394">
        <w:t> </w:t>
      </w:r>
      <w:r w:rsidRPr="00FB0CCF">
        <w:t>г. Динамиката на показателя в строителството и услугите също бе положителна (съответн</w:t>
      </w:r>
      <w:r>
        <w:t>о 0,9</w:t>
      </w:r>
      <w:r w:rsidR="00B6277B" w:rsidRPr="005217E8">
        <w:rPr>
          <w:lang w:val="ru-RU"/>
        </w:rPr>
        <w:t xml:space="preserve"> </w:t>
      </w:r>
      <w:r>
        <w:t>% и 2,2</w:t>
      </w:r>
      <w:r w:rsidR="00B6277B" w:rsidRPr="005217E8">
        <w:rPr>
          <w:lang w:val="ru-RU"/>
        </w:rPr>
        <w:t xml:space="preserve"> </w:t>
      </w:r>
      <w:r>
        <w:t>%), придружена</w:t>
      </w:r>
      <w:r w:rsidRPr="00FB0CCF">
        <w:t xml:space="preserve"> от значително увеличение на броя на заетите в тях.</w:t>
      </w:r>
    </w:p>
    <w:p w14:paraId="7DEFA9EC" w14:textId="1C99A285" w:rsidR="000756FB" w:rsidRPr="00A94CA7" w:rsidRDefault="000756FB" w:rsidP="000756FB">
      <w:pPr>
        <w:spacing w:after="120"/>
        <w:jc w:val="both"/>
      </w:pPr>
      <w:r>
        <w:t>Тенденцията на намаление на инфлация в страната, която започна през последното тримесечие на 2022 г., се запази и през първото полугодие на 2023 г. Годишният темп на инфлация според ХИПЦ към юни бе 7,5</w:t>
      </w:r>
      <w:r w:rsidR="00763529">
        <w:t xml:space="preserve"> </w:t>
      </w:r>
      <w:r>
        <w:t>%. Това до голяма степен се дължеше на понижението в цените на основните суровини, търгувани на международните пазари, както и проявлението на базов ефект от ускореното нарастване на показателя през предходната година. Свиване на приноса имаше при всички основни компоненти на ценовия индекс, с изключение на алкохол и цигари, а този на енергийните стоки е отрицателен от април. В съответствие с описаната тенденция, базисната инфлация също започна да се забавя, но остана на относително високо ниво от 9,2</w:t>
      </w:r>
      <w:r w:rsidR="00763529">
        <w:t xml:space="preserve"> </w:t>
      </w:r>
      <w:r>
        <w:t>%.</w:t>
      </w:r>
    </w:p>
    <w:p w14:paraId="6E56CFD2" w14:textId="01000DB0" w:rsidR="000756FB" w:rsidRPr="00A94CA7" w:rsidRDefault="000756FB" w:rsidP="000756FB">
      <w:pPr>
        <w:spacing w:after="120"/>
        <w:jc w:val="both"/>
      </w:pPr>
      <w:r w:rsidRPr="00FB0CCF">
        <w:t>За периода януари-май 2023 г. излишъкът по т</w:t>
      </w:r>
      <w:r>
        <w:t>екущата сметка се повиши до 0,5</w:t>
      </w:r>
      <w:r w:rsidR="00763529">
        <w:t xml:space="preserve"> </w:t>
      </w:r>
      <w:r w:rsidRPr="00FB0CCF">
        <w:t>% от прогнозния БВП спрямо почти балансирано салдо година по-рано. Основен принос за подобрението имаше търговията със стоки. Въпреки забавянето на външно</w:t>
      </w:r>
      <w:r>
        <w:t>то</w:t>
      </w:r>
      <w:r w:rsidRPr="00FB0CCF">
        <w:t xml:space="preserve"> търсене, съчетано с понижение на цените на международните пазари, за периода бе отчетен изпреварващ номинален растеж на износа от </w:t>
      </w:r>
      <w:r>
        <w:t>1,4</w:t>
      </w:r>
      <w:r w:rsidR="00763529">
        <w:t xml:space="preserve"> </w:t>
      </w:r>
      <w:r w:rsidRPr="00FB0CCF">
        <w:t>% на годишна база, сп</w:t>
      </w:r>
      <w:r>
        <w:t>рямо нарастване на вноса от 0,1</w:t>
      </w:r>
      <w:r w:rsidR="00763529">
        <w:t xml:space="preserve"> </w:t>
      </w:r>
      <w:r w:rsidRPr="00FB0CCF">
        <w:t>%. От началото на годината, темповете на растеж през отделните месеци постепенно се забавяха и през април и май бе регистриран номинален спад както при износа, така и при вноса. Тър</w:t>
      </w:r>
      <w:r>
        <w:t>говският дефицит възлезе на 1,1</w:t>
      </w:r>
      <w:r w:rsidR="00763529">
        <w:t xml:space="preserve"> </w:t>
      </w:r>
      <w:r w:rsidRPr="00FB0CCF">
        <w:t>% от прогнозния БВП, при 1,5</w:t>
      </w:r>
      <w:r w:rsidR="00763529">
        <w:t xml:space="preserve"> </w:t>
      </w:r>
      <w:r w:rsidRPr="00FB0CCF">
        <w:t xml:space="preserve">% година по-рано. През първите пет месеца на годината </w:t>
      </w:r>
      <w:r w:rsidRPr="00FB0CCF">
        <w:lastRenderedPageBreak/>
        <w:t xml:space="preserve">продължи увеличението на чуждестранните посещения в страната, като бе наблюдавано пълно възстановяване на нивата от преди пандемията от </w:t>
      </w:r>
      <w:r w:rsidRPr="005C6394">
        <w:t xml:space="preserve">Covid-19. </w:t>
      </w:r>
      <w:r w:rsidRPr="00FB0CCF">
        <w:t xml:space="preserve">Увеличените приходи от туризъм и </w:t>
      </w:r>
      <w:r w:rsidRPr="005C6394">
        <w:t>далекосъобщителни, компютърни и информационни услуги</w:t>
      </w:r>
      <w:r w:rsidRPr="00FB0CCF">
        <w:t xml:space="preserve"> подпомогнаха нарастването на излишъка по статия услуги до</w:t>
      </w:r>
      <w:r>
        <w:t xml:space="preserve"> 2,2</w:t>
      </w:r>
      <w:r w:rsidR="00763529">
        <w:t xml:space="preserve"> </w:t>
      </w:r>
      <w:r w:rsidRPr="00FB0CCF">
        <w:t>% от прогнозния БВП. Общият дефицит по доходните статии се запази непроменен на ниво от 0,6</w:t>
      </w:r>
      <w:r w:rsidR="00763529">
        <w:t xml:space="preserve"> </w:t>
      </w:r>
      <w:r w:rsidRPr="00FB0CCF">
        <w:t>% от прогнозния БВП.</w:t>
      </w:r>
    </w:p>
    <w:p w14:paraId="136FACB1" w14:textId="4FB5CA29" w:rsidR="000756FB" w:rsidRDefault="00592725" w:rsidP="00592725">
      <w:pPr>
        <w:spacing w:after="120"/>
        <w:jc w:val="both"/>
      </w:pPr>
      <w:r w:rsidRPr="00C05704">
        <w:t xml:space="preserve">Кредитът за частния сектор се забави леко през първите </w:t>
      </w:r>
      <w:r>
        <w:t>шест</w:t>
      </w:r>
      <w:r w:rsidRPr="00C05704">
        <w:t xml:space="preserve"> месеца на 202</w:t>
      </w:r>
      <w:r w:rsidRPr="005C6394">
        <w:t>3</w:t>
      </w:r>
      <w:r>
        <w:t> </w:t>
      </w:r>
      <w:r w:rsidRPr="00C05704">
        <w:t xml:space="preserve">г. и в края на </w:t>
      </w:r>
      <w:r>
        <w:t>юни</w:t>
      </w:r>
      <w:r w:rsidRPr="00C05704">
        <w:t xml:space="preserve"> темпът му на растеж достигна </w:t>
      </w:r>
      <w:r>
        <w:t>11,9</w:t>
      </w:r>
      <w:r w:rsidR="007A098C">
        <w:t xml:space="preserve"> </w:t>
      </w:r>
      <w:r w:rsidRPr="00C05704">
        <w:t>% на годишна база при 12</w:t>
      </w:r>
      <w:r w:rsidRPr="005C6394">
        <w:t>,</w:t>
      </w:r>
      <w:r>
        <w:t xml:space="preserve">7 </w:t>
      </w:r>
      <w:r w:rsidRPr="00C05704">
        <w:t>% в края на 2022</w:t>
      </w:r>
      <w:r>
        <w:t> </w:t>
      </w:r>
      <w:r w:rsidRPr="00C05704">
        <w:t xml:space="preserve">г. С по-голям принос за това бяха кредитите за нефинансови предприятия, </w:t>
      </w:r>
      <w:r>
        <w:t>чий</w:t>
      </w:r>
      <w:r w:rsidRPr="00C05704">
        <w:t>то темп на растеж за същия период се понижи от 10</w:t>
      </w:r>
      <w:r w:rsidRPr="005C6394">
        <w:t>,</w:t>
      </w:r>
      <w:r>
        <w:t xml:space="preserve">4 </w:t>
      </w:r>
      <w:r w:rsidRPr="00C05704">
        <w:t>% до 8</w:t>
      </w:r>
      <w:r w:rsidRPr="005C6394">
        <w:t>,</w:t>
      </w:r>
      <w:r>
        <w:t xml:space="preserve">4 </w:t>
      </w:r>
      <w:r w:rsidRPr="00C05704">
        <w:t>%. Търсенето на оборотни средства под формата на овърдрафт кредити, което беше водещо за нарастването на к</w:t>
      </w:r>
      <w:r>
        <w:t>орпоративните кредити през 2022 </w:t>
      </w:r>
      <w:r w:rsidRPr="00C05704">
        <w:t>г., се забави знач</w:t>
      </w:r>
      <w:r>
        <w:t>ително от началото на 2023 </w:t>
      </w:r>
      <w:r w:rsidRPr="00C05704">
        <w:t>г. и ръстът им на годишна б</w:t>
      </w:r>
      <w:r>
        <w:t xml:space="preserve">аза в края на юни достигна 8,1 % при 17,5 </w:t>
      </w:r>
      <w:r w:rsidRPr="00C05704">
        <w:t>% в края на предходната година. Търсенето на заемни средства от домакинст</w:t>
      </w:r>
      <w:r>
        <w:t>вата остана силно, като от 14,6 % в края на 2022 </w:t>
      </w:r>
      <w:r w:rsidRPr="00C05704">
        <w:t xml:space="preserve">г., годишният </w:t>
      </w:r>
      <w:r>
        <w:t xml:space="preserve">им темп на растеж достигна 14,0 </w:t>
      </w:r>
      <w:r w:rsidRPr="00C05704">
        <w:t xml:space="preserve">% в края на </w:t>
      </w:r>
      <w:r>
        <w:t>първото полугодие на 2023 г</w:t>
      </w:r>
      <w:r w:rsidRPr="00C05704">
        <w:t xml:space="preserve">. Водеща роля имаха жилищните кредити (ръст от </w:t>
      </w:r>
      <w:r>
        <w:t xml:space="preserve">18,0 </w:t>
      </w:r>
      <w:r w:rsidRPr="00C05704">
        <w:t xml:space="preserve">% в края на </w:t>
      </w:r>
      <w:r>
        <w:t>юни</w:t>
      </w:r>
      <w:r w:rsidRPr="00C05704">
        <w:t xml:space="preserve">), след като </w:t>
      </w:r>
      <w:r>
        <w:t xml:space="preserve">все още </w:t>
      </w:r>
      <w:r w:rsidRPr="00C05704">
        <w:t>ниските лихвени проценти и ръст</w:t>
      </w:r>
      <w:r>
        <w:t>ът</w:t>
      </w:r>
      <w:r w:rsidRPr="00C05704">
        <w:t xml:space="preserve"> на цените на жилищата </w:t>
      </w:r>
      <w:r>
        <w:t xml:space="preserve">продължиха да </w:t>
      </w:r>
      <w:r w:rsidRPr="00C05704">
        <w:t>поддържат търсенето на недвижими имоти. Потребителските кредити също запазиха относително висок темп на нарастване (</w:t>
      </w:r>
      <w:r>
        <w:t xml:space="preserve">10,9 </w:t>
      </w:r>
      <w:r w:rsidRPr="00C05704">
        <w:t xml:space="preserve">% в края на </w:t>
      </w:r>
      <w:r>
        <w:t>юни</w:t>
      </w:r>
      <w:r w:rsidRPr="00C05704">
        <w:t>), но леко се з</w:t>
      </w:r>
      <w:r>
        <w:t>абавиха спрямо ръста си от 12,4 % в края на 2022 </w:t>
      </w:r>
      <w:r w:rsidRPr="00C05704">
        <w:t>г.</w:t>
      </w:r>
    </w:p>
    <w:p w14:paraId="3E40D074" w14:textId="77777777" w:rsidR="000756FB" w:rsidRPr="009E3533" w:rsidRDefault="000756FB" w:rsidP="000756FB">
      <w:pPr>
        <w:pStyle w:val="Heading1"/>
        <w:spacing w:before="240"/>
        <w:ind w:left="142" w:right="-108"/>
        <w:jc w:val="both"/>
        <w:rPr>
          <w:sz w:val="24"/>
        </w:rPr>
      </w:pPr>
      <w:bookmarkStart w:id="1" w:name="_Toc109903427"/>
      <w:r w:rsidRPr="009E3533">
        <w:rPr>
          <w:sz w:val="24"/>
        </w:rPr>
        <w:t>Одобрен ЗДБРБ за 2023 г.</w:t>
      </w:r>
      <w:bookmarkEnd w:id="1"/>
    </w:p>
    <w:p w14:paraId="5789B6EC" w14:textId="77777777" w:rsidR="000756FB" w:rsidRPr="005217E8" w:rsidRDefault="000756FB" w:rsidP="000756FB">
      <w:pPr>
        <w:spacing w:after="120"/>
        <w:jc w:val="both"/>
        <w:rPr>
          <w:sz w:val="8"/>
          <w:szCs w:val="8"/>
          <w:lang w:val="ru-RU"/>
        </w:rPr>
      </w:pPr>
    </w:p>
    <w:p w14:paraId="593B7232" w14:textId="11B5E578" w:rsidR="000756FB" w:rsidRPr="009E3533" w:rsidRDefault="000756FB" w:rsidP="000756FB">
      <w:pPr>
        <w:spacing w:after="120"/>
        <w:jc w:val="both"/>
      </w:pPr>
      <w:r w:rsidRPr="009E3533">
        <w:t xml:space="preserve">Подготовката на Бюджет 2023 и актуализираната средносрочна бюджетна прогноза за периода 2023-2025 г. </w:t>
      </w:r>
      <w:r>
        <w:t>премина през редица предизвикателства, което в крайна сметка доведе до забавяне на обичайните срокове в бюджетната процедура и късно внасяне на законопроекта в Народното събрание. Политическата нестабилност и невъзможността за сформиране на редовно правителство в края на 2022 г., както и решението на действащото в този период служебно правителство за отлагане на внасянето на законопроекта за бюджета за 2023 г. за след провеждането на нови парламентарни избори през пролетта наложиха в</w:t>
      </w:r>
      <w:r w:rsidRPr="009E3533">
        <w:t xml:space="preserve"> края на 2022 г. в Народното събрание </w:t>
      </w:r>
      <w:r>
        <w:t>да</w:t>
      </w:r>
      <w:r w:rsidRPr="009E3533">
        <w:t xml:space="preserve"> </w:t>
      </w:r>
      <w:r>
        <w:t xml:space="preserve">бъде </w:t>
      </w:r>
      <w:r w:rsidRPr="009E3533">
        <w:t>внесен</w:t>
      </w:r>
      <w:r>
        <w:t>о</w:t>
      </w:r>
      <w:r w:rsidRPr="009E3533">
        <w:t xml:space="preserve"> законодателно предложение за уреждане временно на някои бюджетни отношения, в резултат на което на 23 декември 2022 г. беше приет Закон за прилагане на разпоредби на Закона за държавния бюджет на Република България за 2022 г., Закона за бюджета на държавното обществено осигуряване за 2022 г. и Закона за бюджета на Националната здравноосигурителна каса за 2022 г., или т.</w:t>
      </w:r>
      <w:r w:rsidR="00D90712">
        <w:t xml:space="preserve"> </w:t>
      </w:r>
      <w:r w:rsidRPr="009E3533">
        <w:t>нар. „удължителен закон“ (обн., ДВ, бр. 104 от 30.12.2022 г.</w:t>
      </w:r>
      <w:r w:rsidR="005217E8" w:rsidRPr="005217E8">
        <w:rPr>
          <w:lang w:val="ru-RU"/>
        </w:rPr>
        <w:t>;</w:t>
      </w:r>
      <w:r w:rsidR="005217E8" w:rsidRPr="005217E8">
        <w:t xml:space="preserve"> изм. и доп. бр. 53 от 2023 г.</w:t>
      </w:r>
      <w:r w:rsidR="005217E8">
        <w:t>).</w:t>
      </w:r>
    </w:p>
    <w:p w14:paraId="5898C8AC" w14:textId="67831858" w:rsidR="000756FB" w:rsidRDefault="000756FB" w:rsidP="000756FB">
      <w:pPr>
        <w:spacing w:after="120"/>
        <w:jc w:val="both"/>
      </w:pPr>
      <w:r>
        <w:t>В резултат календарната 202</w:t>
      </w:r>
      <w:r w:rsidR="005217E8">
        <w:t>3 г. започна при липса на приет</w:t>
      </w:r>
      <w:r>
        <w:t xml:space="preserve"> от Народното събрание бюджет за годината, съответно</w:t>
      </w:r>
      <w:r w:rsidR="00BB5AD6">
        <w:t xml:space="preserve"> с</w:t>
      </w:r>
      <w:r>
        <w:t xml:space="preserve"> прилагане</w:t>
      </w:r>
      <w:r w:rsidR="00BB5AD6">
        <w:t xml:space="preserve"> на</w:t>
      </w:r>
      <w:r>
        <w:t xml:space="preserve"> чл. 87, ал. 1 на Закона за публичните финанси (ЗПФ) и при действието разпоредбите на удължителен закон. В края на месец април 2023 г. служебното правителство изготви и одобри проект на ЗДБРБ за 2023 г. и проект на АСБП за периода 2023 г. – 2025 г. (РМС №331/28.04.2023 г.), които обаче не намериха подкрепа в Народното събрание и не бяха приети. Основната причина за това бе фискалната рамка в законопроекта, която предвиждаше дефицит по КФП, който значително надвишаваше допустимите референтни стойности по чл. 27, ал. 4 на ЗПФ, съответно дефицитът на сектор „Държавно управление“ също бе значително по-голям от референтната стойност от 3 на сто от БВП в Пакта за стабилност и растеж. Това изискваше и значително по-високи тавани по отношение на новия държавен дълг, който може да бъде поет за финансиране на дефицита за 2023 г. и в средносрочен план. </w:t>
      </w:r>
    </w:p>
    <w:p w14:paraId="78574686" w14:textId="6B338AB7" w:rsidR="000756FB" w:rsidRPr="009E3533" w:rsidRDefault="000756FB" w:rsidP="000756FB">
      <w:pPr>
        <w:spacing w:after="120"/>
        <w:jc w:val="both"/>
      </w:pPr>
      <w:r w:rsidRPr="00832DEB">
        <w:t>След почти една година липса на редовно правителство и управление на две служебни</w:t>
      </w:r>
      <w:r>
        <w:t xml:space="preserve"> правителства, в началото на юни 2023 г. с подкрепата на двете водещи политически формации в Народното събрание бе сформирано ново редовно правителство, което постави във фокуса на своята политика максимално бързото приемане на законопроекта за държавния бюджет за настоящата година при спазване на ангажиментите на страната в контекста на присъединяването към Еврозоната. </w:t>
      </w:r>
      <w:r w:rsidRPr="009E3533">
        <w:t xml:space="preserve">Разчетите по </w:t>
      </w:r>
      <w:r>
        <w:t xml:space="preserve">проекта на ЗДБРБ за 2023 г. и </w:t>
      </w:r>
      <w:r w:rsidRPr="009E3533">
        <w:t xml:space="preserve">АСБП за периода 2023-2025 г. </w:t>
      </w:r>
      <w:r>
        <w:t>бяха</w:t>
      </w:r>
      <w:r w:rsidRPr="009E3533">
        <w:t xml:space="preserve"> разработени въз основа на пролетната макроикономическа прогноза на МФ и при допускания да не се увеличават данъците, да не се ограничават социалните плащания и да се осигури предвиденото увеличение на пенсиите през тази година, а по отношение на фискалната политика дефицитът да е в рамките на Маастрихтските критерии</w:t>
      </w:r>
      <w:r>
        <w:t xml:space="preserve"> за гарантиране на устойчивост на публичните финанси.</w:t>
      </w:r>
    </w:p>
    <w:p w14:paraId="63E09C00" w14:textId="77777777" w:rsidR="009A55D4" w:rsidRPr="009E3533" w:rsidRDefault="005217E8" w:rsidP="009A55D4">
      <w:pPr>
        <w:spacing w:after="120"/>
        <w:jc w:val="both"/>
      </w:pPr>
      <w:r>
        <w:t>Фискалната рамка към внесения</w:t>
      </w:r>
      <w:r w:rsidR="000756FB">
        <w:t xml:space="preserve"> в началото на юли 2023 г. законопроект за държавния бюджет за 2023 г. (РМС №459/05.07.2023 г.) е изготвена</w:t>
      </w:r>
      <w:r w:rsidR="000756FB" w:rsidRPr="009E3533">
        <w:t xml:space="preserve"> при </w:t>
      </w:r>
      <w:r w:rsidR="000756FB">
        <w:t>съобразяване с индикаторите и допусканията</w:t>
      </w:r>
      <w:r w:rsidR="000756FB">
        <w:rPr>
          <w:sz w:val="23"/>
          <w:szCs w:val="23"/>
        </w:rPr>
        <w:t xml:space="preserve"> в пролетната макроикономическа прогноза за развитието на националната икономика и оценките за ефекта върху основните показатели на КФП</w:t>
      </w:r>
      <w:r w:rsidR="000756FB" w:rsidRPr="009E3533">
        <w:t xml:space="preserve"> от политиките, предо</w:t>
      </w:r>
      <w:r w:rsidR="000756FB">
        <w:t xml:space="preserve">пределящи приходите и разходите. </w:t>
      </w:r>
      <w:r w:rsidR="009A55D4">
        <w:t xml:space="preserve">Във фискалната рамка са отразени, от една страна, нови мерки за повишаване на събираемостта на приходите от приходните администрации и допълнителни мерки по приходите, и от друга, свиване на разходите на база на преглед на капиталовата програма и разходите за издръжка на администрациите по държавния бюджет при запазване на социалните плащания, с което </w:t>
      </w:r>
      <w:r w:rsidR="009A55D4" w:rsidRPr="009E3533">
        <w:t xml:space="preserve">бюджетното салдо по консолидираната фискална програма за 2023 г. </w:t>
      </w:r>
      <w:r w:rsidR="009A55D4">
        <w:t>се предвижда да бъде</w:t>
      </w:r>
      <w:r w:rsidR="009A55D4" w:rsidRPr="009E3533">
        <w:t xml:space="preserve"> дефицит от 2,5% от БВП, а на сектор „Държавно управление“ е дефицит</w:t>
      </w:r>
      <w:r w:rsidR="009A55D4">
        <w:t xml:space="preserve"> от 3,0% от БВП. </w:t>
      </w:r>
    </w:p>
    <w:p w14:paraId="0114AFD2" w14:textId="77777777" w:rsidR="000756FB" w:rsidRPr="002E4EC8" w:rsidRDefault="000756FB" w:rsidP="000756FB">
      <w:pPr>
        <w:pStyle w:val="Heading1"/>
        <w:spacing w:before="240"/>
        <w:ind w:left="142" w:right="-108"/>
        <w:jc w:val="both"/>
        <w:rPr>
          <w:sz w:val="24"/>
        </w:rPr>
      </w:pPr>
      <w:bookmarkStart w:id="2" w:name="_Toc109903426"/>
      <w:r w:rsidRPr="002E4EC8">
        <w:rPr>
          <w:sz w:val="24"/>
        </w:rPr>
        <w:t>Основни акценти във връзка с текущото наблюдение на изпълнението на консолидираната фискална програма за първото полугодие на 202</w:t>
      </w:r>
      <w:r>
        <w:rPr>
          <w:sz w:val="24"/>
        </w:rPr>
        <w:t>3</w:t>
      </w:r>
      <w:r w:rsidRPr="002E4EC8">
        <w:rPr>
          <w:sz w:val="24"/>
        </w:rPr>
        <w:t xml:space="preserve"> г.</w:t>
      </w:r>
      <w:bookmarkEnd w:id="2"/>
    </w:p>
    <w:p w14:paraId="11A9B819" w14:textId="77777777" w:rsidR="000756FB" w:rsidRPr="00FD510F" w:rsidRDefault="000756FB" w:rsidP="000756FB">
      <w:pPr>
        <w:spacing w:after="120"/>
        <w:jc w:val="both"/>
        <w:rPr>
          <w:color w:val="548DD4" w:themeColor="text2" w:themeTint="99"/>
          <w:sz w:val="12"/>
          <w:szCs w:val="12"/>
          <w:highlight w:val="yellow"/>
        </w:rPr>
      </w:pPr>
    </w:p>
    <w:p w14:paraId="37086263" w14:textId="5998F8BD" w:rsidR="000756FB" w:rsidRDefault="000756FB" w:rsidP="000756FB">
      <w:pPr>
        <w:spacing w:after="120"/>
        <w:jc w:val="both"/>
        <w:rPr>
          <w:color w:val="000000" w:themeColor="text1"/>
        </w:rPr>
      </w:pPr>
      <w:r>
        <w:t>Полугодието на 2023 г. завърши без приет от Народното събрание Закон за държавния бюджет на Република Българи</w:t>
      </w:r>
      <w:r w:rsidR="009A55D4">
        <w:t>я за 2023 г. (ЗДБРБ за 2023 г.)</w:t>
      </w:r>
      <w:r w:rsidR="009A55D4" w:rsidRPr="009A55D4">
        <w:rPr>
          <w:lang w:val="ru-RU"/>
        </w:rPr>
        <w:t>.</w:t>
      </w:r>
      <w:r>
        <w:t xml:space="preserve"> Политическата нестабилност и решението на служебното правителство да не внесе проект на ЗДБРБ за 2023 г. в законово определеният срок по чл. 79, ал. 4 на Закона за публичните финанси доведоха до тази необичайна ситуация, при която за период от повече от шест месеца събирането на приходи и извършването на разходи и предоставянето на трансфери по държавния бюджет се извършваше съгласно разпоредбата на чл. 87, ал. 1 на ЗПФ при действието на Закона за прилагане на разпоредбите на ЗДБРБ за 2022 г., ЗБДОО за 2022 г. и ЗБНЗОК за 2022 г. </w:t>
      </w:r>
      <w:r w:rsidRPr="00EA08EC">
        <w:rPr>
          <w:color w:val="000000" w:themeColor="text1"/>
        </w:rPr>
        <w:t>За разлика от предходната година</w:t>
      </w:r>
      <w:r>
        <w:rPr>
          <w:color w:val="000000" w:themeColor="text1"/>
        </w:rPr>
        <w:t>,</w:t>
      </w:r>
      <w:r w:rsidRPr="00EA08EC">
        <w:rPr>
          <w:color w:val="000000" w:themeColor="text1"/>
        </w:rPr>
        <w:t xml:space="preserve"> </w:t>
      </w:r>
      <w:r>
        <w:rPr>
          <w:color w:val="000000" w:themeColor="text1"/>
        </w:rPr>
        <w:t>когато прилагането на аналогична законова рамка през първите два месеца на годината доведе до известно задържане на разходите, през 2023 г. се наблюдава противоположна тенденция на относително нарастване на разходите, за което допринасят основно</w:t>
      </w:r>
      <w:r w:rsidRPr="00EA08EC">
        <w:rPr>
          <w:color w:val="000000" w:themeColor="text1"/>
        </w:rPr>
        <w:t xml:space="preserve"> законодателни промени, одобрени през 2022 г., в т.ч. промените в пенсионната сфера, увеличените размери на възнагражденията в редица администрации</w:t>
      </w:r>
      <w:r>
        <w:rPr>
          <w:color w:val="000000" w:themeColor="text1"/>
        </w:rPr>
        <w:t xml:space="preserve">, одобрени програми за компенсиране на разходите на небитовите крайни потребители на електрическа енергия и т.н. </w:t>
      </w:r>
    </w:p>
    <w:p w14:paraId="57B343FF" w14:textId="497D1F5B" w:rsidR="000756FB" w:rsidRPr="001E1E12" w:rsidRDefault="000756FB" w:rsidP="000756FB">
      <w:pPr>
        <w:spacing w:after="120"/>
        <w:jc w:val="both"/>
      </w:pPr>
      <w:r w:rsidRPr="001E1E12">
        <w:t>Фискалните развития през първото полугодие на 2023 г</w:t>
      </w:r>
      <w:r w:rsidR="0053607E" w:rsidRPr="005217E8">
        <w:rPr>
          <w:lang w:val="ru-RU"/>
        </w:rPr>
        <w:t>.</w:t>
      </w:r>
      <w:r w:rsidRPr="001E1E12">
        <w:t xml:space="preserve"> бяха доминирани от множество фактори, влияещи разнопосочно върху бюджетните показатели. Върху фиска продълж</w:t>
      </w:r>
      <w:r w:rsidR="0053607E">
        <w:t>иха</w:t>
      </w:r>
      <w:r w:rsidRPr="001E1E12">
        <w:t xml:space="preserve"> да оказват влияние волатилните </w:t>
      </w:r>
      <w:r w:rsidR="009A55D4" w:rsidRPr="00CC114A">
        <w:t>цени</w:t>
      </w:r>
      <w:r w:rsidR="009A55D4">
        <w:t xml:space="preserve"> на международните </w:t>
      </w:r>
      <w:r w:rsidRPr="001E1E12">
        <w:t>пазари на суровини и енергоносители, нарушените вериги за доставка и наложените санкции поради войната в Украйна. Ситуацията през настоящата година обаче е значително променена – за разлика от шоковото нарастване на цената на енергоносителите и в частност на нефта и природния газ на международните пазари непосредствено след избухването на войната, през настоящата година се наблюдава значително поевтиняване и завръщане на цените до предвоенни</w:t>
      </w:r>
      <w:r w:rsidR="0053607E">
        <w:t>те им</w:t>
      </w:r>
      <w:r w:rsidRPr="001E1E12">
        <w:t xml:space="preserve"> нива при много от енергоносителите и суровините, което съответно се отразява и върху приходите при облагането при внос и върху данъчната основа при сделки при вътреообщностни придобивания. </w:t>
      </w:r>
      <w:r>
        <w:t>В допълнение върху размера на ДДС от внос и приходите от мита влияят и курса на щатския долар, количествата суров петрол, внесени за преработка, както и физическия обем на внесените стоки</w:t>
      </w:r>
      <w:r w:rsidR="0053607E">
        <w:t>,</w:t>
      </w:r>
      <w:r>
        <w:t xml:space="preserve"> пораждащи ДДС. </w:t>
      </w:r>
      <w:r w:rsidRPr="001E1E12">
        <w:t xml:space="preserve">Подобна е и тенденцията при цените на природния газ и електрическата енергия на регионалните борси. Средномесечната цена на електрическата енергия на сегмента „ден напред“ на БНЕБ спадна от 738 лева/MWh за третото тримесечие на 2022 г. до средно 176 лева/MWh за второто тримесечие на 2023 г., </w:t>
      </w:r>
      <w:r w:rsidR="0053607E">
        <w:t xml:space="preserve">което е </w:t>
      </w:r>
      <w:r w:rsidRPr="001E1E12">
        <w:t>под заложения праг за изплащане на компенсации от 200 лева/MWh за всеки един от месеците от април до юни включително. Това, от една страна, намал</w:t>
      </w:r>
      <w:r w:rsidR="0053607E">
        <w:t>и</w:t>
      </w:r>
      <w:r w:rsidRPr="001E1E12">
        <w:t xml:space="preserve"> натиска върху разходната част на бюджета, като редуцира значително разходите за изплащане на компенсации по бюджета на Фонд „Сигурност на електроенергийната система“</w:t>
      </w:r>
      <w:r w:rsidR="004A606E">
        <w:t xml:space="preserve"> (ФСЕС)</w:t>
      </w:r>
      <w:r w:rsidRPr="001E1E12">
        <w:t xml:space="preserve"> спрямо изплащаните през  2022 г., а от друга - намали данъчната основа при облагането с ДДС в сектор енергетика. Заедно с това продълж</w:t>
      </w:r>
      <w:r w:rsidR="0053607E">
        <w:t>и</w:t>
      </w:r>
      <w:r w:rsidRPr="001E1E12">
        <w:t xml:space="preserve"> и силното представяне на експорта, което съответно води до по-висок ДДС за възстановяване на фирмите износители. </w:t>
      </w:r>
    </w:p>
    <w:p w14:paraId="13446F7F" w14:textId="6471F2B3" w:rsidR="000756FB" w:rsidRPr="001E1E12" w:rsidRDefault="000756FB" w:rsidP="000756FB">
      <w:pPr>
        <w:spacing w:after="120"/>
        <w:jc w:val="both"/>
      </w:pPr>
      <w:r w:rsidRPr="001E1E12">
        <w:t xml:space="preserve">При така действащата законова рамка през първите пет месеца на 2023 г. се очерта тенденция на относително ускорено нарастване на разходите, докато нарастването в частта на приходите бе умерено, което съответно се отрази във формиране на дефицит в размер на 1,178 млрд. лв. по консолидираната фискална програма към края на май 2023 г. През месец юни обаче постъпленията значително нараснаха (само за юни 2023 г. постъпиха 1,1 млрд. лв. повече приходи по КФП спрямо същия месец на предходната година, в т.ч. 0,8 млрд. лв. неданъчни приходи), включително и поради </w:t>
      </w:r>
      <w:r w:rsidRPr="00FB09E0">
        <w:t xml:space="preserve">по-високите постъпления във връзка с крайния срок (30 юни) за подаване на годишната данъчна декларация за 2022 г. по Закона за корпоративното подоходно облагане, съответно и за внасяне на </w:t>
      </w:r>
      <w:r w:rsidR="003D7C9F" w:rsidRPr="00FB09E0">
        <w:t>корпоративния</w:t>
      </w:r>
      <w:r w:rsidRPr="00FB09E0">
        <w:t xml:space="preserve"> данък, данъка върху разходите, данъка върху приходите на бюджетните предприятия и на данъка върху дейността от опериране на кораби, както и на постъпили приходи от Европейската </w:t>
      </w:r>
      <w:r w:rsidR="003D7C9F" w:rsidRPr="00FB09E0">
        <w:t>инвестиционна</w:t>
      </w:r>
      <w:r w:rsidRPr="00FB09E0">
        <w:t xml:space="preserve"> банка по проектите, финансирани от Модернизационния фонд, </w:t>
      </w:r>
      <w:r>
        <w:t>приходи от дивидент за държавата от държавни предприятия и друг</w:t>
      </w:r>
      <w:r w:rsidR="004A606E">
        <w:t>и. Поради тази причина, въпреки</w:t>
      </w:r>
      <w:r>
        <w:t xml:space="preserve"> че разходите за юни продължават да отчитат ръст, бюджетната позиция се подобри значително и към края на полугодието бюджетното салдо по КФП е положително в размер на 0,177 млрд. лв. (0,1% от прогнозния БВП). </w:t>
      </w:r>
    </w:p>
    <w:p w14:paraId="43761728" w14:textId="6AA93A2E" w:rsidR="000756FB" w:rsidRPr="001E1E12" w:rsidRDefault="000756FB" w:rsidP="000756FB">
      <w:pPr>
        <w:spacing w:after="120"/>
        <w:jc w:val="both"/>
      </w:pPr>
      <w:r w:rsidRPr="001E1E12">
        <w:t xml:space="preserve">От страна на приходите към </w:t>
      </w:r>
      <w:r w:rsidR="009A55D4">
        <w:t>полугодието се наблюдава</w:t>
      </w:r>
      <w:r w:rsidRPr="001E1E12">
        <w:t xml:space="preserve"> нарастване на данъчните и неданъчните приходи по КФП, докато приходите в частта на помощите (основно грантове по програмите и фондовете на ЕС) се свиват спрямо същия период на предходната година. В номинално изражение приходите по КФП нарастват с близо 3,2 млрд. лв. (11,2 на сто) спрямо първите шест месеца на 2022 г., като основната част от този ръст се формира от данъчните приходи, които нарастват с над 2,3 млрд. лв. (10,5 на сто). Постъпленията от преки данъци, социално и здравно осигурителни вноски и други данъци</w:t>
      </w:r>
      <w:r w:rsidR="00EC0B35">
        <w:rPr>
          <w:rStyle w:val="FootnoteReference"/>
        </w:rPr>
        <w:footnoteReference w:id="2"/>
      </w:r>
      <w:r w:rsidRPr="001E1E12">
        <w:t xml:space="preserve"> нарастват с добри темпове, а при косвените данъци се наблюдава известно задържане на нива близки до отчетените за същия период на предходната година, основно поради забавяне при постъпленията от ДДС от внос. Върху приходите от Д</w:t>
      </w:r>
      <w:r w:rsidR="00184DF2">
        <w:t>ДС от внос продължава</w:t>
      </w:r>
      <w:r w:rsidR="00671FC2">
        <w:t>т</w:t>
      </w:r>
      <w:r w:rsidR="00184DF2">
        <w:t xml:space="preserve"> да оказва</w:t>
      </w:r>
      <w:r w:rsidR="00671FC2">
        <w:t>т</w:t>
      </w:r>
      <w:r w:rsidRPr="001E1E12">
        <w:t xml:space="preserve"> влияние цената на суровия петрол, внесен за преработка, курсът на щатския долар, както и количествата на внесените стоки, пораждащи ДДС, в т.ч. на суровия петрол. Неданъчните приходи също нарастват с около 1,0</w:t>
      </w:r>
      <w:r w:rsidR="009B18F4">
        <w:t> </w:t>
      </w:r>
      <w:r w:rsidRPr="001E1E12">
        <w:t xml:space="preserve">млрд. лв. (22,4 на сто), основно поради по-високите приходи и доходи от </w:t>
      </w:r>
      <w:r w:rsidR="00791215" w:rsidRPr="001E1E12">
        <w:t>собственост</w:t>
      </w:r>
      <w:r w:rsidRPr="001E1E12">
        <w:t>, приходи от такси, глоби, санкции и наказателни лихви, приходи от продажба на квоти за емисии парникови газове и други, докато приходите в частта на помощите са по-ниски с 0,2 млрд. лв. от отчетените за полугодието на предходната година.</w:t>
      </w:r>
    </w:p>
    <w:p w14:paraId="24631FF7" w14:textId="77777777" w:rsidR="000756FB" w:rsidRPr="001E1E12" w:rsidRDefault="000756FB" w:rsidP="000756FB">
      <w:pPr>
        <w:spacing w:before="120" w:after="120"/>
        <w:jc w:val="both"/>
      </w:pPr>
      <w:r w:rsidRPr="001E1E12">
        <w:t>Съпоставени със същия период на предходната година, разходите и вноската в общия бюджет на ЕС нарастват номинално с близо 4,2 млрд. лв. (15,3 на сто), което се дължи основно на по-високия размер на разходите по националния бюджет. В отделните разходни показатели най-значително нарастване има при разходите за пенсии (2,1 млрд. лв.), както и в частта на разходите за персонал (1,0 млрд. лв.), капиталовите разходи (0,6 млрд. лв.) и други. Ръстът на разходите се дължи на влезли в сила нормативни актове, вкл. промени в пенсионната сфера, разплащане на задължения по бюджета на МРРБ, влезли в сила увеличени размери на възнагражденията в редица администрации и други.</w:t>
      </w:r>
    </w:p>
    <w:p w14:paraId="09CE16AF" w14:textId="615A4D5D" w:rsidR="000756FB" w:rsidRPr="001E1E12" w:rsidRDefault="000756FB" w:rsidP="000756FB">
      <w:pPr>
        <w:spacing w:before="120" w:after="120"/>
        <w:jc w:val="both"/>
      </w:pPr>
      <w:r w:rsidRPr="001E1E12">
        <w:t>При отделните елементи на разходите, съпоставено със същия период на предходната година, най-значителен номинален ръст се отчита при социалните и здравноосигурителните разходи (2,6</w:t>
      </w:r>
      <w:r w:rsidR="009B2FC4">
        <w:t> </w:t>
      </w:r>
      <w:r w:rsidRPr="001E1E12">
        <w:t>млрд. лв. или 22,6 на сто), в т.ч. разходите за пенсии нарастват с 2,1 млрд. лв. (29,8 на сто). Основните мерки в пенсионната сфера, действащи през първото полугодие на 2023 г., влязоха в сила през 2022 г.: от 1 юли 2022 г. всички пенсии бяха увеличени с 10</w:t>
      </w:r>
      <w:r w:rsidR="00344117">
        <w:t xml:space="preserve"> </w:t>
      </w:r>
      <w:r w:rsidRPr="001E1E12">
        <w:t>%, като към тях бе включена за постоянно и изплащаната до онзи момент „ковид“ добавка, като при минималната и максималната пенсии увеличението беше съответно с 26</w:t>
      </w:r>
      <w:r w:rsidR="00344117">
        <w:t>,</w:t>
      </w:r>
      <w:r w:rsidRPr="001E1E12">
        <w:t>2 и 33</w:t>
      </w:r>
      <w:r w:rsidR="00344117">
        <w:t>,</w:t>
      </w:r>
      <w:r w:rsidRPr="001E1E12">
        <w:t>3%; от 1 октомври 2022 г. последва преизчисление на пенсиите за трудова дейност, отпуснати до края на 2021 г., като най-напред се определи размер на пенсията, относим към годината на отпускането ѝ (базов размер), след което той се увеличава за всяка календарна година, следваща годината на отпускането ѝ по формула</w:t>
      </w:r>
      <w:r w:rsidR="00AB62E6">
        <w:t>,</w:t>
      </w:r>
      <w:r w:rsidRPr="001E1E12">
        <w:t xml:space="preserve"> отчитаща средния осигурителен доход в страната, а максималната пенсия бе увеличена повторно и достигна 3</w:t>
      </w:r>
      <w:r w:rsidR="00422F9A">
        <w:t xml:space="preserve"> </w:t>
      </w:r>
      <w:r w:rsidRPr="001E1E12">
        <w:t>400 лева. Предвид обстоятелството, че посочените мерки не са действали през първото полугодие на 2022 г. при съпоставката със същия период на предходната година се наблюдава базов ефект, кое</w:t>
      </w:r>
      <w:r w:rsidR="00184DF2">
        <w:t>то обуславя относително високия</w:t>
      </w:r>
      <w:r w:rsidRPr="001E1E12">
        <w:t xml:space="preserve"> номинален ръст. </w:t>
      </w:r>
    </w:p>
    <w:p w14:paraId="4248E3C8" w14:textId="5D953508" w:rsidR="000756FB" w:rsidRPr="001E1E12" w:rsidRDefault="000756FB" w:rsidP="000756FB">
      <w:pPr>
        <w:spacing w:before="120" w:after="120"/>
        <w:jc w:val="both"/>
      </w:pPr>
      <w:r w:rsidRPr="001E1E12">
        <w:t>Друг елемент на разходите, при който се отчита съществено нарастване спрямо полугодието на предходната година (с 1,0 млрд. лв. или 16,0 на сто) са разходите за персонал. Разгледани по съставни бюджети, най-съществен</w:t>
      </w:r>
      <w:r w:rsidR="00184DF2">
        <w:t>а</w:t>
      </w:r>
      <w:r w:rsidRPr="001E1E12">
        <w:t xml:space="preserve"> част от нарастването на разходите за персонал се формира по бюджетите на общините, където тези разходи нарастват с близо 0,5 млрд. лв. (19,0 на сто), следвани от разходите за персонал по държавния бюджет, които също нарастват с близо 0,5 млрд. лв. (14</w:t>
      </w:r>
      <w:r w:rsidR="00597031">
        <w:t>,</w:t>
      </w:r>
      <w:r w:rsidRPr="001E1E12">
        <w:t>3 на сто). Нарастването на разходите се дължи основно на увеличение на размера на възнагражденията в редица администрации, които съответно също бяха одобрени през второто полугодие на 2022 г. с редица актове на Народното събрание и Министерския съвет.</w:t>
      </w:r>
    </w:p>
    <w:p w14:paraId="01574FF1" w14:textId="77777777" w:rsidR="000756FB" w:rsidRPr="001E1E12" w:rsidRDefault="000756FB" w:rsidP="000756FB">
      <w:pPr>
        <w:spacing w:before="120" w:after="120"/>
        <w:jc w:val="both"/>
      </w:pPr>
      <w:r w:rsidRPr="001E1E12">
        <w:t>Капиталовите разходи нарастват с 0,6 млрд. лв. (40,8 на сто), спрямо полугодието на 2022 г., като основен принос отново имат капиталовите разходите, извършени по общинските бюджети, които нарастват с 0,3 млрд. лв. (82,9 на сто), следвани от инвестиционните разходи по държавния бюджет и по сметките за средства от ЕС.</w:t>
      </w:r>
    </w:p>
    <w:p w14:paraId="0DA293B1" w14:textId="77777777" w:rsidR="000756FB" w:rsidRPr="001E1E12" w:rsidRDefault="000756FB" w:rsidP="000756FB">
      <w:pPr>
        <w:spacing w:before="120" w:after="120"/>
        <w:jc w:val="both"/>
      </w:pPr>
      <w:r w:rsidRPr="001E1E12">
        <w:t xml:space="preserve">Разходите за издръжка също отчитат номинален ръст спрямо първото полугодие на 2022 г. с 4,2 на сто, докато разходите за субсидии и разходите за лихви са по-ниски. </w:t>
      </w:r>
    </w:p>
    <w:p w14:paraId="31089730" w14:textId="77777777" w:rsidR="000756FB" w:rsidRPr="005C6394" w:rsidRDefault="000756FB" w:rsidP="000756FB">
      <w:pPr>
        <w:pStyle w:val="Heading1"/>
        <w:spacing w:before="240"/>
        <w:ind w:left="142" w:right="-108"/>
        <w:jc w:val="both"/>
        <w:rPr>
          <w:color w:val="000000" w:themeColor="text1"/>
          <w:sz w:val="24"/>
        </w:rPr>
      </w:pPr>
      <w:r w:rsidRPr="005C6394">
        <w:rPr>
          <w:color w:val="000000" w:themeColor="text1"/>
          <w:sz w:val="24"/>
        </w:rPr>
        <w:t>Предизвикателства при изпълнението на бюджета до края на годината</w:t>
      </w:r>
    </w:p>
    <w:p w14:paraId="319CE005" w14:textId="77777777" w:rsidR="000756FB" w:rsidRPr="005217E8" w:rsidRDefault="000756FB" w:rsidP="000756FB">
      <w:pPr>
        <w:spacing w:after="120"/>
        <w:jc w:val="both"/>
        <w:rPr>
          <w:color w:val="548DD4" w:themeColor="text2" w:themeTint="99"/>
          <w:sz w:val="12"/>
          <w:szCs w:val="12"/>
          <w:lang w:val="ru-RU"/>
        </w:rPr>
      </w:pPr>
    </w:p>
    <w:p w14:paraId="6A4AFE43" w14:textId="390A4E74" w:rsidR="000756FB" w:rsidRPr="004F5BC4" w:rsidRDefault="00184DF2" w:rsidP="000756FB">
      <w:pPr>
        <w:spacing w:after="120"/>
        <w:jc w:val="both"/>
        <w:rPr>
          <w:color w:val="000000" w:themeColor="text1"/>
        </w:rPr>
      </w:pPr>
      <w:r>
        <w:rPr>
          <w:color w:val="000000" w:themeColor="text1"/>
          <w:lang w:val="ru-RU"/>
        </w:rPr>
        <w:t>Р</w:t>
      </w:r>
      <w:r w:rsidR="000756FB" w:rsidRPr="004F5BC4">
        <w:rPr>
          <w:color w:val="000000" w:themeColor="text1"/>
        </w:rPr>
        <w:t>амката по приходите в разчетите към ЗДБРБ за 2023 г. е планирана реалистично и амбициозно и изисква максимална мобилизация на приходните администрации за подобряване на събираемостта на приходите, борба със сивата икономика и данъчните престъпления и насърчаване доброволното плащане на дължимите публични вземания. Допълнително предизвикателство е краткото време за прилагане на набелязаните мерки, поради късното приемане на ЗДБРБ за 2023 г. На този фон основните рискове пред изпълнението на прогнозите за приходите от д</w:t>
      </w:r>
      <w:r>
        <w:rPr>
          <w:color w:val="000000" w:themeColor="text1"/>
        </w:rPr>
        <w:t xml:space="preserve">анъци за 2023 г. </w:t>
      </w:r>
      <w:r w:rsidR="000756FB" w:rsidRPr="004F5BC4">
        <w:rPr>
          <w:color w:val="000000" w:themeColor="text1"/>
        </w:rPr>
        <w:t xml:space="preserve">са свързани с евентуални отклонения в използваните макроикономически допускания, потенциално забавяне на скоростта на икономическия растеж в страната и при външноикономическите ни партньори, както и с потенциалните преки и косвени ефекти върху икономиката от военните действия в Украйна. </w:t>
      </w:r>
      <w:r w:rsidR="00551AB3" w:rsidRPr="00551AB3">
        <w:rPr>
          <w:color w:val="000000" w:themeColor="text1"/>
        </w:rPr>
        <w:t>По отношение на планирания транш по Механизма за възстановяване и устойчивост затруднения могат да възникнат при евентуално забавяне на изпълнението на заложените съгласно актуалния профил за плащане по НПВУ етапи и цели в т.ч. и приемането на необходимите законодателни промени, съответно закъснение при отчитането им и изпращането на Искане за плащане до Европейската комисия, което ще създаде риск от неполучаване на планирания приход в рамките на финансовата година</w:t>
      </w:r>
      <w:r w:rsidR="000756FB" w:rsidRPr="004F5BC4">
        <w:rPr>
          <w:color w:val="000000" w:themeColor="text1"/>
        </w:rPr>
        <w:t>.</w:t>
      </w:r>
    </w:p>
    <w:p w14:paraId="5A093BC0" w14:textId="77777777" w:rsidR="000756FB" w:rsidRPr="004F5BC4" w:rsidRDefault="000756FB" w:rsidP="000756FB">
      <w:pPr>
        <w:tabs>
          <w:tab w:val="num" w:pos="0"/>
        </w:tabs>
        <w:autoSpaceDE w:val="0"/>
        <w:autoSpaceDN w:val="0"/>
        <w:adjustRightInd w:val="0"/>
        <w:spacing w:before="120" w:after="120"/>
        <w:jc w:val="both"/>
        <w:rPr>
          <w:noProof/>
          <w:color w:val="548DD4" w:themeColor="text2" w:themeTint="99"/>
        </w:rPr>
      </w:pPr>
      <w:r w:rsidRPr="004F5BC4">
        <w:rPr>
          <w:bCs/>
          <w:color w:val="000000" w:themeColor="text1"/>
        </w:rPr>
        <w:t xml:space="preserve">Финансирането на разходните политики по сметките за средствата от ЕС към момента не създава напрежение, но с навлизането на проектите по </w:t>
      </w:r>
      <w:r w:rsidRPr="004F5BC4">
        <w:rPr>
          <w:color w:val="000000"/>
        </w:rPr>
        <w:t xml:space="preserve">Оперативните програми, Програмата за развитие на селските райони и други програми на Европейския съюз за програмния период 2014-2020 г. във финален етап и усилията за минимизиране на загубата на европейско финансиране се очаква значително нарастване на плащанията по проектите и програмите до края на 2023 г. Освен това, съгласно правилата на ЕС бенефициентите по програмите на ЕС могат да извършват разходи при спазване на  крайния срок за допустимост на разходите, който за програмния период 2014-2020 г. за повечето програми е 31 декември 2023 г. Това означава, че всички разходи, извършени от бенефициентите извън цитирания срок, ще бъдат недопустими за финансиране от съответната програма и следва да се осигурят от националния бюджет. Това съответно може да концентрира значителни </w:t>
      </w:r>
      <w:r w:rsidRPr="004F5BC4">
        <w:rPr>
          <w:bCs/>
          <w:color w:val="000000" w:themeColor="text1"/>
        </w:rPr>
        <w:t xml:space="preserve">по размер разходи по европейските програми и фондове в последното тримесечие на годината, което при хипотеза за потенциално забавяне на планираните грантове от ЕК по Механизма за възстановяване и устойчивост може да доведе до натиск върху бюджета на касова основа от гледна точка на ликвидната позиция на правителството в края на годината. </w:t>
      </w:r>
    </w:p>
    <w:p w14:paraId="2F460A05" w14:textId="0345314D" w:rsidR="000756FB" w:rsidRPr="008C46BF" w:rsidRDefault="000756FB" w:rsidP="000756FB">
      <w:pPr>
        <w:tabs>
          <w:tab w:val="num" w:pos="0"/>
        </w:tabs>
        <w:autoSpaceDE w:val="0"/>
        <w:autoSpaceDN w:val="0"/>
        <w:adjustRightInd w:val="0"/>
        <w:spacing w:before="120" w:after="120"/>
        <w:jc w:val="both"/>
        <w:rPr>
          <w:bCs/>
          <w:color w:val="000000" w:themeColor="text1"/>
        </w:rPr>
      </w:pPr>
      <w:r w:rsidRPr="004F5BC4">
        <w:rPr>
          <w:bCs/>
          <w:color w:val="000000" w:themeColor="text1"/>
        </w:rPr>
        <w:t>В частта на разходите по КФП предизвикателство</w:t>
      </w:r>
      <w:r w:rsidR="00E3307A">
        <w:rPr>
          <w:bCs/>
          <w:color w:val="000000" w:themeColor="text1"/>
        </w:rPr>
        <w:t xml:space="preserve"> би представлявало възникването на потенциално</w:t>
      </w:r>
      <w:r w:rsidRPr="004F5BC4">
        <w:rPr>
          <w:bCs/>
          <w:color w:val="000000" w:themeColor="text1"/>
        </w:rPr>
        <w:t xml:space="preserve"> нови</w:t>
      </w:r>
      <w:r w:rsidR="00E97779">
        <w:rPr>
          <w:bCs/>
          <w:color w:val="000000" w:themeColor="text1"/>
        </w:rPr>
        <w:t>,</w:t>
      </w:r>
      <w:r w:rsidRPr="004F5BC4">
        <w:rPr>
          <w:bCs/>
          <w:color w:val="000000" w:themeColor="text1"/>
        </w:rPr>
        <w:t xml:space="preserve"> значителни по размер разходи</w:t>
      </w:r>
      <w:r w:rsidR="00E3307A">
        <w:rPr>
          <w:bCs/>
          <w:color w:val="000000" w:themeColor="text1"/>
        </w:rPr>
        <w:t xml:space="preserve"> за</w:t>
      </w:r>
      <w:r w:rsidRPr="004F5BC4">
        <w:rPr>
          <w:bCs/>
          <w:color w:val="000000" w:themeColor="text1"/>
        </w:rPr>
        <w:t xml:space="preserve"> компенса</w:t>
      </w:r>
      <w:r w:rsidR="00E3307A">
        <w:rPr>
          <w:bCs/>
          <w:color w:val="000000" w:themeColor="text1"/>
        </w:rPr>
        <w:t>ции в изпълнение на Решение на Н</w:t>
      </w:r>
      <w:r w:rsidRPr="004F5BC4">
        <w:rPr>
          <w:bCs/>
          <w:color w:val="000000" w:themeColor="text1"/>
        </w:rPr>
        <w:t>ародното събрание за възлагане на Министерския съвет да приеме програма за предоставяне на компенсации на небитовите крайни клиенти на електроенергия (ДВ, бр</w:t>
      </w:r>
      <w:r w:rsidR="00770982">
        <w:rPr>
          <w:bCs/>
          <w:color w:val="000000" w:themeColor="text1"/>
        </w:rPr>
        <w:t>.</w:t>
      </w:r>
      <w:r w:rsidRPr="004F5BC4">
        <w:rPr>
          <w:bCs/>
          <w:color w:val="000000" w:themeColor="text1"/>
        </w:rPr>
        <w:t>, 90 от 2022 г., изм. и доп., ДВ,</w:t>
      </w:r>
      <w:r w:rsidR="00E97779">
        <w:rPr>
          <w:bCs/>
          <w:color w:val="000000" w:themeColor="text1"/>
        </w:rPr>
        <w:t xml:space="preserve"> бр. 98 от 2022 г.). Независимо</w:t>
      </w:r>
      <w:r w:rsidRPr="004F5BC4">
        <w:rPr>
          <w:bCs/>
          <w:color w:val="000000" w:themeColor="text1"/>
        </w:rPr>
        <w:t xml:space="preserve"> че към момента не се наблюдава драстично нарастване на цените на търгуваните количества електрическа енергия в региона</w:t>
      </w:r>
      <w:r w:rsidR="00E97779">
        <w:rPr>
          <w:bCs/>
          <w:color w:val="000000" w:themeColor="text1"/>
        </w:rPr>
        <w:t>,</w:t>
      </w:r>
      <w:r w:rsidRPr="004F5BC4">
        <w:rPr>
          <w:bCs/>
          <w:color w:val="000000" w:themeColor="text1"/>
        </w:rPr>
        <w:t xml:space="preserve"> законодателят е възложил на Министерския съвет при надвишаване на референтната цена на сегмента </w:t>
      </w:r>
      <w:r w:rsidRPr="004F5BC4">
        <w:rPr>
          <w:noProof/>
          <w:color w:val="000000" w:themeColor="text1"/>
        </w:rPr>
        <w:t>„ден напред“ на „БНЕБ“ – ЕАД за съответен месец над 200 лева/</w:t>
      </w:r>
      <w:r w:rsidRPr="004F5BC4">
        <w:rPr>
          <w:noProof/>
          <w:color w:val="000000" w:themeColor="text1"/>
          <w:lang w:val="en-US"/>
        </w:rPr>
        <w:t>MWh</w:t>
      </w:r>
      <w:r w:rsidRPr="004F5BC4">
        <w:rPr>
          <w:noProof/>
          <w:color w:val="000000" w:themeColor="text1"/>
        </w:rPr>
        <w:t xml:space="preserve"> </w:t>
      </w:r>
      <w:r w:rsidRPr="004F5BC4">
        <w:rPr>
          <w:bCs/>
          <w:color w:val="000000" w:themeColor="text1"/>
        </w:rPr>
        <w:t xml:space="preserve">да приеме нова програма и да възобнови изплащането на компенсации на фирмите. При евентуално значително покачване на средномесечните цени в края на 2023 година могат да възникнат задължения за изплащане на компенсации, които да надвишават ресурса от целеви вноски по § 3 от ПЗР на ЗДБРБ за 2023 г. и съответно да формират дефицит по бюджета на </w:t>
      </w:r>
      <w:r w:rsidR="00E97779">
        <w:rPr>
          <w:bCs/>
          <w:color w:val="000000" w:themeColor="text1"/>
        </w:rPr>
        <w:t>ФСЕС</w:t>
      </w:r>
      <w:r w:rsidRPr="004F5BC4">
        <w:rPr>
          <w:bCs/>
          <w:color w:val="000000" w:themeColor="text1"/>
        </w:rPr>
        <w:t xml:space="preserve">. </w:t>
      </w:r>
    </w:p>
    <w:p w14:paraId="04F2BC9C" w14:textId="05EC5F6F" w:rsidR="008C46BF" w:rsidRDefault="008C46BF" w:rsidP="008C46BF">
      <w:pPr>
        <w:jc w:val="both"/>
      </w:pPr>
      <w:r w:rsidRPr="008C46BF">
        <w:t xml:space="preserve">В контекста на усилията за присъединяване на България към еврозоната от 1 януари 2025 </w:t>
      </w:r>
      <w:r w:rsidR="00F5769E">
        <w:t>г. и поддържане на</w:t>
      </w:r>
      <w:r w:rsidRPr="008C46BF">
        <w:t xml:space="preserve"> дефицит</w:t>
      </w:r>
      <w:r w:rsidR="00F5769E">
        <w:t>а</w:t>
      </w:r>
      <w:r w:rsidRPr="008C46BF">
        <w:t xml:space="preserve"> и дълг</w:t>
      </w:r>
      <w:r w:rsidR="00F5769E">
        <w:t>а</w:t>
      </w:r>
      <w:r w:rsidRPr="008C46BF">
        <w:t xml:space="preserve"> на сектор „Държавно управление“ в рамките на критериите за конвергенция при спазване на референтните стойности от Пакта за стабилност и растеж</w:t>
      </w:r>
      <w:r w:rsidR="00F5769E">
        <w:t>,</w:t>
      </w:r>
      <w:r w:rsidRPr="008C46BF">
        <w:t xml:space="preserve"> в краткосрочен план за 2023 г. съществуват </w:t>
      </w:r>
      <w:r w:rsidR="00D80AF5" w:rsidRPr="008C46BF">
        <w:t>потенциални</w:t>
      </w:r>
      <w:r w:rsidRPr="008C46BF">
        <w:t xml:space="preserve"> рискове единствено по отношение на критерия за дефицита, оценен по методологията на Европейската система от регионални и национални сметки 2010 (ЕСС 2010). Основните предизвикателства за постигане на заложената цел </w:t>
      </w:r>
      <w:r w:rsidR="00EC104C">
        <w:t xml:space="preserve">- </w:t>
      </w:r>
      <w:r w:rsidRPr="008C46BF">
        <w:t>дефицитът на сектор „Държавно управление“ да не надвиши 3 на сто от прогнозния БВП</w:t>
      </w:r>
      <w:r w:rsidR="00EC104C">
        <w:t>,</w:t>
      </w:r>
      <w:r w:rsidRPr="008C46BF">
        <w:t xml:space="preserve"> се свързват</w:t>
      </w:r>
      <w:r w:rsidR="00EC104C">
        <w:t>,</w:t>
      </w:r>
      <w:r w:rsidRPr="008C46BF">
        <w:t xml:space="preserve"> от една страна</w:t>
      </w:r>
      <w:r w:rsidR="00EC104C">
        <w:t>,</w:t>
      </w:r>
      <w:r w:rsidRPr="008C46BF">
        <w:t xml:space="preserve"> с постигане на заложените цели по отношение на приходите, и от друга – с недопускане възникването на нови задължения за разходи в края на годината, които независимо че не оказват влияние на касова основа се отразяват като разход за годината по методологията на ЕСС 2010. Внимание заслужават и корективите, свързани с отразяването на потоците, свързани с програмите и фондовете на ЕС по методологията на ЕСС 2010, както и оценките за корективите за отчитане на данъците по метода на времево изместване на касовите приходи и корективи за трансакции, приравнени на разход. На база на данните от оборотните ведомости на първостепенните разпоредители с бюджет към полугодието и друга налична информация към момента по-задълбочен анализ ще бъде направен с подготовката на информацията по чл. 135, ал. 1 на ЗПФ за третото тримесечие на 2023 г.</w:t>
      </w:r>
      <w:r>
        <w:t xml:space="preserve"> </w:t>
      </w:r>
    </w:p>
    <w:p w14:paraId="51D85DB3" w14:textId="736CF366" w:rsidR="005024E0" w:rsidRPr="000B330C" w:rsidRDefault="005024E0" w:rsidP="005024E0">
      <w:pPr>
        <w:pStyle w:val="Heading1"/>
        <w:spacing w:before="240"/>
        <w:ind w:left="142" w:right="-108"/>
        <w:jc w:val="both"/>
        <w:rPr>
          <w:sz w:val="24"/>
        </w:rPr>
      </w:pPr>
      <w:r w:rsidRPr="000B330C">
        <w:rPr>
          <w:sz w:val="24"/>
        </w:rPr>
        <w:t>Информация за разходи, свързани с хуманитарната криза породена от военните действия в Украйна</w:t>
      </w:r>
      <w:bookmarkEnd w:id="0"/>
    </w:p>
    <w:p w14:paraId="0C255B36" w14:textId="50FEC7C9" w:rsidR="00534CF1" w:rsidRPr="000B330C" w:rsidRDefault="00534CF1" w:rsidP="004B20AC">
      <w:pPr>
        <w:spacing w:before="120"/>
        <w:jc w:val="both"/>
        <w:rPr>
          <w:bCs/>
          <w:lang w:eastAsia="bg-BG"/>
        </w:rPr>
      </w:pPr>
      <w:r w:rsidRPr="000B330C">
        <w:rPr>
          <w:lang w:eastAsia="bg-BG"/>
        </w:rPr>
        <w:t>Отчетените от ПРБ разходи към 3</w:t>
      </w:r>
      <w:r w:rsidR="000B330C" w:rsidRPr="000B330C">
        <w:rPr>
          <w:lang w:eastAsia="bg-BG"/>
        </w:rPr>
        <w:t>0</w:t>
      </w:r>
      <w:r w:rsidRPr="000B330C">
        <w:rPr>
          <w:lang w:eastAsia="bg-BG"/>
        </w:rPr>
        <w:t>.0</w:t>
      </w:r>
      <w:r w:rsidR="000B330C" w:rsidRPr="000B330C">
        <w:rPr>
          <w:lang w:eastAsia="bg-BG"/>
        </w:rPr>
        <w:t>6</w:t>
      </w:r>
      <w:r w:rsidRPr="000B330C">
        <w:rPr>
          <w:lang w:eastAsia="bg-BG"/>
        </w:rPr>
        <w:t>.202</w:t>
      </w:r>
      <w:r w:rsidR="00792849" w:rsidRPr="000B330C">
        <w:rPr>
          <w:lang w:val="ru-RU" w:eastAsia="bg-BG"/>
        </w:rPr>
        <w:t>3</w:t>
      </w:r>
      <w:r w:rsidRPr="000B330C">
        <w:rPr>
          <w:lang w:eastAsia="bg-BG"/>
        </w:rPr>
        <w:t xml:space="preserve"> г. за финансиране на дейности по оказване на незабавна хуманитарна помощ на живеещите в Украйна български граждани и българи с украинско гражданство, включително при необходимост от евакуация, за предоставяне на хуманитарна помощ за Украйна, както и за извършване на разходи за справяне с последствията от военните действия срещу Украйна</w:t>
      </w:r>
      <w:r w:rsidR="00C52EE1" w:rsidRPr="000B330C">
        <w:rPr>
          <w:lang w:eastAsia="bg-BG"/>
        </w:rPr>
        <w:t>,</w:t>
      </w:r>
      <w:r w:rsidRPr="000B330C">
        <w:rPr>
          <w:lang w:eastAsia="bg-BG"/>
        </w:rPr>
        <w:t xml:space="preserve"> са в размер на </w:t>
      </w:r>
      <w:r w:rsidR="000B330C" w:rsidRPr="000B330C">
        <w:rPr>
          <w:lang w:eastAsia="bg-BG"/>
        </w:rPr>
        <w:t>213</w:t>
      </w:r>
      <w:r w:rsidR="00792849" w:rsidRPr="000B330C">
        <w:rPr>
          <w:lang w:val="ru-RU" w:eastAsia="bg-BG"/>
        </w:rPr>
        <w:t>,3</w:t>
      </w:r>
      <w:r w:rsidRPr="000B330C">
        <w:rPr>
          <w:lang w:eastAsia="bg-BG"/>
        </w:rPr>
        <w:t xml:space="preserve"> млн.</w:t>
      </w:r>
      <w:r w:rsidRPr="000B330C">
        <w:rPr>
          <w:bCs/>
          <w:lang w:eastAsia="bg-BG"/>
        </w:rPr>
        <w:t xml:space="preserve"> лв.</w:t>
      </w:r>
      <w:r w:rsidR="00792849" w:rsidRPr="000B330C">
        <w:rPr>
          <w:bCs/>
          <w:lang w:eastAsia="bg-BG"/>
        </w:rPr>
        <w:t xml:space="preserve"> за сметка на националния бюджет и </w:t>
      </w:r>
      <w:r w:rsidR="000B330C" w:rsidRPr="000B330C">
        <w:rPr>
          <w:bCs/>
          <w:lang w:eastAsia="bg-BG"/>
        </w:rPr>
        <w:t>8</w:t>
      </w:r>
      <w:r w:rsidRPr="000B330C">
        <w:rPr>
          <w:bCs/>
          <w:lang w:eastAsia="bg-BG"/>
        </w:rPr>
        <w:t>,</w:t>
      </w:r>
      <w:r w:rsidR="000B330C" w:rsidRPr="000B330C">
        <w:rPr>
          <w:bCs/>
          <w:lang w:eastAsia="bg-BG"/>
        </w:rPr>
        <w:t>1</w:t>
      </w:r>
      <w:r w:rsidRPr="000B330C">
        <w:rPr>
          <w:bCs/>
          <w:lang w:eastAsia="bg-BG"/>
        </w:rPr>
        <w:t xml:space="preserve"> млн. лв. за сметка на </w:t>
      </w:r>
      <w:r w:rsidR="00792849" w:rsidRPr="000B330C">
        <w:rPr>
          <w:bCs/>
          <w:lang w:eastAsia="bg-BG"/>
        </w:rPr>
        <w:t>средства от ЕС</w:t>
      </w:r>
      <w:r w:rsidRPr="000B330C">
        <w:rPr>
          <w:bCs/>
          <w:lang w:eastAsia="bg-BG"/>
        </w:rPr>
        <w:t>.</w:t>
      </w:r>
      <w:r w:rsidR="00905E17" w:rsidRPr="000B330C">
        <w:rPr>
          <w:bCs/>
          <w:lang w:eastAsia="bg-BG"/>
        </w:rPr>
        <w:t xml:space="preserve"> </w:t>
      </w:r>
      <w:r w:rsidR="00B4333D" w:rsidRPr="000B330C">
        <w:rPr>
          <w:bCs/>
          <w:lang w:eastAsia="bg-BG"/>
        </w:rPr>
        <w:t xml:space="preserve">По бюджетите на общините отчетените разходи са в размер на </w:t>
      </w:r>
      <w:r w:rsidR="000B330C" w:rsidRPr="000B330C">
        <w:rPr>
          <w:bCs/>
          <w:lang w:eastAsia="bg-BG"/>
        </w:rPr>
        <w:t>1</w:t>
      </w:r>
      <w:r w:rsidR="00B4333D" w:rsidRPr="000B330C">
        <w:rPr>
          <w:bCs/>
          <w:lang w:eastAsia="bg-BG"/>
        </w:rPr>
        <w:t>,</w:t>
      </w:r>
      <w:r w:rsidR="000B330C" w:rsidRPr="000B330C">
        <w:rPr>
          <w:bCs/>
          <w:lang w:eastAsia="bg-BG"/>
        </w:rPr>
        <w:t>1</w:t>
      </w:r>
      <w:r w:rsidR="00B4333D" w:rsidRPr="000B330C">
        <w:rPr>
          <w:bCs/>
          <w:lang w:eastAsia="bg-BG"/>
        </w:rPr>
        <w:t xml:space="preserve"> млн. лв.</w:t>
      </w:r>
      <w:r w:rsidR="00792849" w:rsidRPr="000B330C">
        <w:rPr>
          <w:bCs/>
          <w:lang w:eastAsia="bg-BG"/>
        </w:rPr>
        <w:t>, от които 0,2 млн. лв. за сметка на средства от ЕС.</w:t>
      </w:r>
    </w:p>
    <w:p w14:paraId="4899FCBB" w14:textId="067C066B" w:rsidR="00E747EA" w:rsidRPr="000B330C" w:rsidRDefault="00534CF1" w:rsidP="00E747EA">
      <w:pPr>
        <w:spacing w:before="120"/>
        <w:jc w:val="both"/>
        <w:rPr>
          <w:lang w:eastAsia="bg-BG"/>
        </w:rPr>
      </w:pPr>
      <w:r w:rsidRPr="000B330C">
        <w:rPr>
          <w:b/>
          <w:i/>
          <w:lang w:eastAsia="bg-BG"/>
        </w:rPr>
        <w:t>Програми за хуманитарна помощ за лица, търсещи временна закрила</w:t>
      </w:r>
      <w:r w:rsidRPr="000B330C">
        <w:rPr>
          <w:lang w:eastAsia="bg-BG"/>
        </w:rPr>
        <w:t xml:space="preserve"> - в началото на март</w:t>
      </w:r>
      <w:r w:rsidR="002D3FB5" w:rsidRPr="000B330C">
        <w:rPr>
          <w:lang w:eastAsia="bg-BG"/>
        </w:rPr>
        <w:t xml:space="preserve"> 2022 г.</w:t>
      </w:r>
      <w:r w:rsidRPr="000B330C">
        <w:rPr>
          <w:lang w:eastAsia="bg-BG"/>
        </w:rPr>
        <w:t xml:space="preserve"> с РМС № 145/2022 г. бе одобрена Програма за ползване на хуманитарна помощ за лица, търсещи временна закрила в Република България вследствие на военните действия в Реп</w:t>
      </w:r>
      <w:r w:rsidR="00715E0F" w:rsidRPr="000B330C">
        <w:rPr>
          <w:lang w:eastAsia="bg-BG"/>
        </w:rPr>
        <w:t>ублика Украйна</w:t>
      </w:r>
      <w:r w:rsidRPr="000B330C">
        <w:rPr>
          <w:lang w:eastAsia="bg-BG"/>
        </w:rPr>
        <w:t>, която по-късно бе изменена и допълнена с РМС № 181</w:t>
      </w:r>
      <w:r w:rsidR="002D3FB5" w:rsidRPr="000B330C">
        <w:rPr>
          <w:lang w:eastAsia="bg-BG"/>
        </w:rPr>
        <w:t>/2022 и РМС № 239/2022 г</w:t>
      </w:r>
      <w:r w:rsidR="009D7B2B" w:rsidRPr="000B330C">
        <w:rPr>
          <w:lang w:eastAsia="bg-BG"/>
        </w:rPr>
        <w:t>.</w:t>
      </w:r>
      <w:r w:rsidR="00715E0F" w:rsidRPr="000B330C">
        <w:rPr>
          <w:lang w:eastAsia="bg-BG"/>
        </w:rPr>
        <w:t xml:space="preserve"> С РМС № 317/2022 г. бе одобрена и нова „Програма за хуманитарно подпомагане на разселени лица от Украйна с предоставена временна закрила в Република България“</w:t>
      </w:r>
      <w:r w:rsidR="000B330C" w:rsidRPr="000B330C">
        <w:rPr>
          <w:lang w:eastAsia="bg-BG"/>
        </w:rPr>
        <w:t>.</w:t>
      </w:r>
      <w:r w:rsidR="00715E0F" w:rsidRPr="000B330C">
        <w:rPr>
          <w:lang w:eastAsia="bg-BG"/>
        </w:rPr>
        <w:t xml:space="preserve"> Програмите</w:t>
      </w:r>
      <w:r w:rsidRPr="000B330C">
        <w:rPr>
          <w:lang w:eastAsia="bg-BG"/>
        </w:rPr>
        <w:t xml:space="preserve"> се администрира</w:t>
      </w:r>
      <w:r w:rsidR="00715E0F" w:rsidRPr="000B330C">
        <w:rPr>
          <w:lang w:eastAsia="bg-BG"/>
        </w:rPr>
        <w:t>т</w:t>
      </w:r>
      <w:r w:rsidRPr="000B330C">
        <w:rPr>
          <w:lang w:eastAsia="bg-BG"/>
        </w:rPr>
        <w:t xml:space="preserve"> от Министерството на туризма</w:t>
      </w:r>
      <w:r w:rsidR="00715E0F" w:rsidRPr="000B330C">
        <w:rPr>
          <w:lang w:eastAsia="bg-BG"/>
        </w:rPr>
        <w:t>, като помощта се одобрява с акт на Министерския съвет</w:t>
      </w:r>
      <w:r w:rsidRPr="000B330C">
        <w:rPr>
          <w:lang w:eastAsia="bg-BG"/>
        </w:rPr>
        <w:t>.</w:t>
      </w:r>
      <w:r w:rsidR="000B330C" w:rsidRPr="000B330C">
        <w:rPr>
          <w:lang w:eastAsia="bg-BG"/>
        </w:rPr>
        <w:t xml:space="preserve"> </w:t>
      </w:r>
      <w:r w:rsidR="00E747EA" w:rsidRPr="000B330C">
        <w:rPr>
          <w:lang w:eastAsia="bg-BG"/>
        </w:rPr>
        <w:t xml:space="preserve">С ПМС № </w:t>
      </w:r>
      <w:r w:rsidR="002D3FB5" w:rsidRPr="000B330C">
        <w:rPr>
          <w:lang w:eastAsia="bg-BG"/>
        </w:rPr>
        <w:t xml:space="preserve">484/2022 </w:t>
      </w:r>
      <w:r w:rsidR="00E747EA" w:rsidRPr="000B330C">
        <w:rPr>
          <w:lang w:eastAsia="bg-BG"/>
        </w:rPr>
        <w:t xml:space="preserve">г. са одобрени допълнителни разходи по бюджета на Министерството на туризма за 2022 г. във връзка с изплащането на сумите </w:t>
      </w:r>
      <w:r w:rsidR="00715E0F" w:rsidRPr="000B330C">
        <w:rPr>
          <w:lang w:eastAsia="bg-BG"/>
        </w:rPr>
        <w:t>по тези програми</w:t>
      </w:r>
      <w:r w:rsidR="000B330C" w:rsidRPr="000B330C">
        <w:rPr>
          <w:lang w:eastAsia="bg-BG"/>
        </w:rPr>
        <w:t>.</w:t>
      </w:r>
    </w:p>
    <w:p w14:paraId="4749ED4B" w14:textId="389CD4EF" w:rsidR="00E747EA" w:rsidRPr="000B330C" w:rsidRDefault="00E747EA" w:rsidP="00E747EA">
      <w:pPr>
        <w:spacing w:before="120"/>
        <w:jc w:val="both"/>
        <w:rPr>
          <w:lang w:eastAsia="bg-BG"/>
        </w:rPr>
      </w:pPr>
      <w:r w:rsidRPr="000B330C">
        <w:rPr>
          <w:lang w:eastAsia="bg-BG"/>
        </w:rPr>
        <w:t>Към 3</w:t>
      </w:r>
      <w:r w:rsidR="000B330C" w:rsidRPr="000B330C">
        <w:rPr>
          <w:lang w:eastAsia="bg-BG"/>
        </w:rPr>
        <w:t>0</w:t>
      </w:r>
      <w:r w:rsidRPr="000B330C">
        <w:rPr>
          <w:lang w:eastAsia="bg-BG"/>
        </w:rPr>
        <w:t>.0</w:t>
      </w:r>
      <w:r w:rsidR="000B330C" w:rsidRPr="000B330C">
        <w:rPr>
          <w:lang w:eastAsia="bg-BG"/>
        </w:rPr>
        <w:t>6</w:t>
      </w:r>
      <w:r w:rsidRPr="000B330C">
        <w:rPr>
          <w:lang w:eastAsia="bg-BG"/>
        </w:rPr>
        <w:t>.202</w:t>
      </w:r>
      <w:r w:rsidR="002F37D0" w:rsidRPr="000B330C">
        <w:rPr>
          <w:lang w:eastAsia="bg-BG"/>
        </w:rPr>
        <w:t>3</w:t>
      </w:r>
      <w:r w:rsidRPr="000B330C">
        <w:rPr>
          <w:lang w:eastAsia="bg-BG"/>
        </w:rPr>
        <w:t xml:space="preserve"> г. по бюджета на Министерството на туризма са о</w:t>
      </w:r>
      <w:r w:rsidR="002F37D0" w:rsidRPr="000B330C">
        <w:rPr>
          <w:lang w:eastAsia="bg-BG"/>
        </w:rPr>
        <w:t>тчетени разходи</w:t>
      </w:r>
      <w:r w:rsidRPr="000B330C">
        <w:rPr>
          <w:lang w:eastAsia="bg-BG"/>
        </w:rPr>
        <w:t xml:space="preserve"> в общ размер на </w:t>
      </w:r>
      <w:r w:rsidR="000B330C" w:rsidRPr="000B330C">
        <w:rPr>
          <w:lang w:eastAsia="bg-BG"/>
        </w:rPr>
        <w:t>32</w:t>
      </w:r>
      <w:r w:rsidRPr="000B330C">
        <w:rPr>
          <w:lang w:eastAsia="bg-BG"/>
        </w:rPr>
        <w:t>,</w:t>
      </w:r>
      <w:r w:rsidR="000B330C" w:rsidRPr="000B330C">
        <w:rPr>
          <w:lang w:eastAsia="bg-BG"/>
        </w:rPr>
        <w:t>5</w:t>
      </w:r>
      <w:r w:rsidRPr="000B330C">
        <w:rPr>
          <w:lang w:eastAsia="bg-BG"/>
        </w:rPr>
        <w:t xml:space="preserve"> млн. лв. за хуманитарна помощ</w:t>
      </w:r>
      <w:r w:rsidR="004501C4" w:rsidRPr="000B330C">
        <w:rPr>
          <w:lang w:eastAsia="bg-BG"/>
        </w:rPr>
        <w:t xml:space="preserve"> за лица, търсещи временна закрила в Република България</w:t>
      </w:r>
      <w:r w:rsidRPr="000B330C">
        <w:rPr>
          <w:lang w:eastAsia="bg-BG"/>
        </w:rPr>
        <w:t xml:space="preserve"> в</w:t>
      </w:r>
      <w:r w:rsidR="004501C4" w:rsidRPr="000B330C">
        <w:rPr>
          <w:lang w:eastAsia="bg-BG"/>
        </w:rPr>
        <w:t>следствие на</w:t>
      </w:r>
      <w:r w:rsidRPr="000B330C">
        <w:rPr>
          <w:lang w:eastAsia="bg-BG"/>
        </w:rPr>
        <w:t xml:space="preserve"> военните действия в Украйна. </w:t>
      </w:r>
    </w:p>
    <w:p w14:paraId="77A72672" w14:textId="273D823A" w:rsidR="00534CF1" w:rsidRPr="0055349C" w:rsidRDefault="00534CF1" w:rsidP="000F1488">
      <w:pPr>
        <w:jc w:val="both"/>
        <w:rPr>
          <w:color w:val="0070C0"/>
          <w:lang w:eastAsia="bg-BG"/>
        </w:rPr>
      </w:pPr>
      <w:r w:rsidRPr="000B330C">
        <w:rPr>
          <w:b/>
          <w:i/>
          <w:lang w:eastAsia="bg-BG"/>
        </w:rPr>
        <w:t>В областта на социалната закрила</w:t>
      </w:r>
      <w:r w:rsidRPr="000B330C">
        <w:rPr>
          <w:lang w:eastAsia="bg-BG"/>
        </w:rPr>
        <w:t xml:space="preserve"> - в рамките на действащата нормативна уредба в областта на системата на социалното подпомагане, пристигащите в страната лица със статут на временна закрила, за които след оценка на всеки конкретен случай се констатира, че се нуждаят от подкрепа за задоволяване на основните жизнени потребности, имат право на социални помощи и защита, в т. ч. и </w:t>
      </w:r>
      <w:r w:rsidRPr="00072C4F">
        <w:rPr>
          <w:lang w:eastAsia="bg-BG"/>
        </w:rPr>
        <w:t>хора с увреждания. Наред с това, пристигащите от Украйна имат право да работят у нас без разрешение за достъп до пазара на труда, както и да ползват облекчени процедури за достъп до българския пазар на труда. Към 3</w:t>
      </w:r>
      <w:r w:rsidR="000B330C" w:rsidRPr="00072C4F">
        <w:rPr>
          <w:lang w:eastAsia="bg-BG"/>
        </w:rPr>
        <w:t>0</w:t>
      </w:r>
      <w:r w:rsidR="00FE102E" w:rsidRPr="00072C4F">
        <w:rPr>
          <w:lang w:eastAsia="bg-BG"/>
        </w:rPr>
        <w:t>.0</w:t>
      </w:r>
      <w:r w:rsidR="000B330C" w:rsidRPr="00072C4F">
        <w:rPr>
          <w:lang w:eastAsia="bg-BG"/>
        </w:rPr>
        <w:t>6</w:t>
      </w:r>
      <w:r w:rsidRPr="00072C4F">
        <w:rPr>
          <w:lang w:eastAsia="bg-BG"/>
        </w:rPr>
        <w:t>.202</w:t>
      </w:r>
      <w:r w:rsidR="00FE102E" w:rsidRPr="00072C4F">
        <w:rPr>
          <w:lang w:val="ru-RU" w:eastAsia="bg-BG"/>
        </w:rPr>
        <w:t>3</w:t>
      </w:r>
      <w:r w:rsidRPr="00072C4F">
        <w:rPr>
          <w:lang w:eastAsia="bg-BG"/>
        </w:rPr>
        <w:t xml:space="preserve"> г. Министерството на труда и социалната политика отчита </w:t>
      </w:r>
      <w:r w:rsidR="00072C4F" w:rsidRPr="00072C4F">
        <w:rPr>
          <w:lang w:eastAsia="bg-BG"/>
        </w:rPr>
        <w:t>извършени разходи: по бюджета си в размер на</w:t>
      </w:r>
      <w:r w:rsidRPr="00072C4F">
        <w:rPr>
          <w:lang w:eastAsia="bg-BG"/>
        </w:rPr>
        <w:t xml:space="preserve"> </w:t>
      </w:r>
      <w:r w:rsidR="00072C4F" w:rsidRPr="00072C4F">
        <w:rPr>
          <w:lang w:eastAsia="bg-BG"/>
        </w:rPr>
        <w:t>1</w:t>
      </w:r>
      <w:r w:rsidRPr="00072C4F">
        <w:rPr>
          <w:lang w:eastAsia="bg-BG"/>
        </w:rPr>
        <w:t>,</w:t>
      </w:r>
      <w:r w:rsidR="00072C4F" w:rsidRPr="00072C4F">
        <w:rPr>
          <w:lang w:eastAsia="bg-BG"/>
        </w:rPr>
        <w:t>4</w:t>
      </w:r>
      <w:r w:rsidRPr="00072C4F">
        <w:rPr>
          <w:lang w:eastAsia="bg-BG"/>
        </w:rPr>
        <w:t xml:space="preserve"> млн. лв.</w:t>
      </w:r>
      <w:r w:rsidR="00072C4F" w:rsidRPr="00072C4F">
        <w:rPr>
          <w:lang w:eastAsia="bg-BG"/>
        </w:rPr>
        <w:t xml:space="preserve"> и за сметка на средства от ЕС в размер на 7,1 млн. лв.</w:t>
      </w:r>
      <w:r w:rsidRPr="00072C4F">
        <w:rPr>
          <w:lang w:eastAsia="bg-BG"/>
        </w:rPr>
        <w:t xml:space="preserve"> </w:t>
      </w:r>
      <w:r w:rsidR="00072C4F" w:rsidRPr="00072C4F">
        <w:rPr>
          <w:lang w:eastAsia="bg-BG"/>
        </w:rPr>
        <w:t>Средствата по бюджета представляват отп</w:t>
      </w:r>
      <w:r w:rsidRPr="00072C4F">
        <w:rPr>
          <w:lang w:eastAsia="bg-BG"/>
        </w:rPr>
        <w:t>уснати</w:t>
      </w:r>
      <w:r w:rsidR="00FE102E" w:rsidRPr="00072C4F">
        <w:rPr>
          <w:lang w:eastAsia="bg-BG"/>
        </w:rPr>
        <w:t>те</w:t>
      </w:r>
      <w:r w:rsidRPr="00072C4F">
        <w:rPr>
          <w:lang w:eastAsia="bg-BG"/>
        </w:rPr>
        <w:t xml:space="preserve"> еднократни помощи по реда на чл. 16 от Правилника за прилагане на Закона за социално подпомагане (ППЗСП) на разселени от Украйна лица с предоставена временна закрила, до петкратния размер на гарантирания минимален доход (375 лв.)</w:t>
      </w:r>
      <w:r w:rsidR="00FE102E" w:rsidRPr="00072C4F">
        <w:rPr>
          <w:lang w:eastAsia="bg-BG"/>
        </w:rPr>
        <w:t>.</w:t>
      </w:r>
      <w:r w:rsidRPr="00072C4F">
        <w:rPr>
          <w:lang w:eastAsia="bg-BG"/>
        </w:rPr>
        <w:t xml:space="preserve"> Помощта се отпуска въз основа на подадено заявление-декларация в Агенцията за социално подпомагане по адрес на местопребиваването им. За </w:t>
      </w:r>
      <w:r w:rsidR="00FE102E" w:rsidRPr="00072C4F">
        <w:rPr>
          <w:lang w:eastAsia="bg-BG"/>
        </w:rPr>
        <w:t>отчетния период</w:t>
      </w:r>
      <w:r w:rsidRPr="00072C4F">
        <w:rPr>
          <w:lang w:eastAsia="bg-BG"/>
        </w:rPr>
        <w:t xml:space="preserve"> са изплатени еднократни помощи на </w:t>
      </w:r>
      <w:r w:rsidR="00072C4F" w:rsidRPr="00072C4F">
        <w:rPr>
          <w:lang w:eastAsia="bg-BG"/>
        </w:rPr>
        <w:t>3</w:t>
      </w:r>
      <w:r w:rsidRPr="00072C4F">
        <w:rPr>
          <w:lang w:eastAsia="bg-BG"/>
        </w:rPr>
        <w:t xml:space="preserve"> </w:t>
      </w:r>
      <w:r w:rsidR="00072C4F" w:rsidRPr="00072C4F">
        <w:rPr>
          <w:lang w:eastAsia="bg-BG"/>
        </w:rPr>
        <w:t>760</w:t>
      </w:r>
      <w:r w:rsidRPr="00072C4F">
        <w:rPr>
          <w:lang w:eastAsia="bg-BG"/>
        </w:rPr>
        <w:t xml:space="preserve"> лица с предоставена временна закрила.</w:t>
      </w:r>
    </w:p>
    <w:p w14:paraId="1893C927" w14:textId="3CC6FA19" w:rsidR="004914C9" w:rsidRPr="000F1488" w:rsidRDefault="000F1488" w:rsidP="000F1488">
      <w:pPr>
        <w:jc w:val="both"/>
        <w:rPr>
          <w:lang w:eastAsia="bg-BG"/>
        </w:rPr>
      </w:pPr>
      <w:r w:rsidRPr="000F1488">
        <w:rPr>
          <w:lang w:eastAsia="bg-BG"/>
        </w:rPr>
        <w:t xml:space="preserve">От сметките за средства от ЕС </w:t>
      </w:r>
      <w:r w:rsidR="004914C9" w:rsidRPr="000F1488">
        <w:rPr>
          <w:lang w:eastAsia="bg-BG"/>
        </w:rPr>
        <w:t>3,</w:t>
      </w:r>
      <w:r w:rsidRPr="000F1488">
        <w:rPr>
          <w:lang w:eastAsia="bg-BG"/>
        </w:rPr>
        <w:t>9</w:t>
      </w:r>
      <w:r w:rsidR="004914C9" w:rsidRPr="000F1488">
        <w:rPr>
          <w:lang w:eastAsia="bg-BG"/>
        </w:rPr>
        <w:t xml:space="preserve"> млн. лв. </w:t>
      </w:r>
      <w:r w:rsidRPr="000F1488">
        <w:rPr>
          <w:lang w:eastAsia="bg-BG"/>
        </w:rPr>
        <w:t xml:space="preserve">представляват </w:t>
      </w:r>
      <w:r w:rsidR="004914C9" w:rsidRPr="000F1488">
        <w:rPr>
          <w:lang w:eastAsia="bg-BG"/>
        </w:rPr>
        <w:t>социални разходи за ваучери с номинал 100,00 лева по операция BG05FMOP001-6.001 – „Предоставяне на ваучери за осигуряване на храни и стоки от първа необходимост за разселени лица от Украйна“ по Оперативна програма храни и/или основно материално подпомагане от Фонд за подпомагане на най-нуждаещите се лица с финансиране по линията на REACT-EU. За периода от 01.01.2023 г. до 3</w:t>
      </w:r>
      <w:r w:rsidRPr="000F1488">
        <w:rPr>
          <w:lang w:eastAsia="bg-BG"/>
        </w:rPr>
        <w:t>0</w:t>
      </w:r>
      <w:r w:rsidR="004914C9" w:rsidRPr="000F1488">
        <w:rPr>
          <w:lang w:eastAsia="bg-BG"/>
        </w:rPr>
        <w:t>.0</w:t>
      </w:r>
      <w:r w:rsidRPr="000F1488">
        <w:rPr>
          <w:lang w:eastAsia="bg-BG"/>
        </w:rPr>
        <w:t>6</w:t>
      </w:r>
      <w:r w:rsidR="004914C9" w:rsidRPr="000F1488">
        <w:rPr>
          <w:lang w:eastAsia="bg-BG"/>
        </w:rPr>
        <w:t xml:space="preserve">.2023 г. са реализирани общо </w:t>
      </w:r>
      <w:r w:rsidRPr="000F1488">
        <w:rPr>
          <w:lang w:eastAsia="bg-BG"/>
        </w:rPr>
        <w:t>39</w:t>
      </w:r>
      <w:r w:rsidR="004914C9" w:rsidRPr="000F1488">
        <w:rPr>
          <w:lang w:eastAsia="bg-BG"/>
        </w:rPr>
        <w:t> </w:t>
      </w:r>
      <w:r w:rsidRPr="000F1488">
        <w:rPr>
          <w:lang w:eastAsia="bg-BG"/>
        </w:rPr>
        <w:t>431</w:t>
      </w:r>
      <w:r w:rsidR="004914C9" w:rsidRPr="000F1488">
        <w:rPr>
          <w:lang w:eastAsia="bg-BG"/>
        </w:rPr>
        <w:t xml:space="preserve"> ваучера.</w:t>
      </w:r>
    </w:p>
    <w:p w14:paraId="0968BC25" w14:textId="77777777" w:rsidR="008E3CF5" w:rsidRPr="0058038C" w:rsidRDefault="004914C9" w:rsidP="008E3CF5">
      <w:pPr>
        <w:tabs>
          <w:tab w:val="left" w:pos="720"/>
        </w:tabs>
        <w:jc w:val="both"/>
      </w:pPr>
      <w:r w:rsidRPr="008E3CF5">
        <w:rPr>
          <w:lang w:eastAsia="bg-BG"/>
        </w:rPr>
        <w:t xml:space="preserve">Изплатените средства по проект „Солидарност“ за предоставени субсидии са в размер на </w:t>
      </w:r>
      <w:r w:rsidR="008E3CF5" w:rsidRPr="00B019A1">
        <w:rPr>
          <w:lang w:val="ru-RU" w:eastAsia="bg-BG"/>
        </w:rPr>
        <w:t>3</w:t>
      </w:r>
      <w:r w:rsidRPr="008E3CF5">
        <w:rPr>
          <w:lang w:eastAsia="bg-BG"/>
        </w:rPr>
        <w:t>,</w:t>
      </w:r>
      <w:r w:rsidR="008E3CF5" w:rsidRPr="00B019A1">
        <w:rPr>
          <w:lang w:val="ru-RU" w:eastAsia="bg-BG"/>
        </w:rPr>
        <w:t>1</w:t>
      </w:r>
      <w:r w:rsidR="00FE574B" w:rsidRPr="008E3CF5">
        <w:rPr>
          <w:lang w:eastAsia="bg-BG"/>
        </w:rPr>
        <w:t> </w:t>
      </w:r>
      <w:r w:rsidRPr="008E3CF5">
        <w:rPr>
          <w:lang w:eastAsia="bg-BG"/>
        </w:rPr>
        <w:t>млн. лв. и включват минимална помощ по смисъла на Регламент(ЕС) № 1407/2013 г. и интеграционна добавка за настаняване на лица, украински граждани.</w:t>
      </w:r>
      <w:r w:rsidR="008E3CF5" w:rsidRPr="00B019A1">
        <w:rPr>
          <w:lang w:val="ru-RU" w:eastAsia="bg-BG"/>
        </w:rPr>
        <w:t xml:space="preserve"> </w:t>
      </w:r>
      <w:r w:rsidRPr="008E3CF5">
        <w:rPr>
          <w:lang w:eastAsia="bg-BG"/>
        </w:rPr>
        <w:t xml:space="preserve">Възнагражденията на </w:t>
      </w:r>
      <w:r w:rsidR="008E3CF5" w:rsidRPr="00B019A1">
        <w:rPr>
          <w:lang w:val="ru-RU" w:eastAsia="bg-BG"/>
        </w:rPr>
        <w:t>3</w:t>
      </w:r>
      <w:r w:rsidRPr="008E3CF5">
        <w:rPr>
          <w:lang w:eastAsia="bg-BG"/>
        </w:rPr>
        <w:t xml:space="preserve"> </w:t>
      </w:r>
      <w:r w:rsidR="008E3CF5" w:rsidRPr="00B019A1">
        <w:rPr>
          <w:lang w:val="ru-RU" w:eastAsia="bg-BG"/>
        </w:rPr>
        <w:t>070</w:t>
      </w:r>
      <w:r w:rsidRPr="008E3CF5">
        <w:rPr>
          <w:lang w:eastAsia="bg-BG"/>
        </w:rPr>
        <w:t xml:space="preserve"> украински граждани възлизат на стойност </w:t>
      </w:r>
      <w:r w:rsidR="008E3CF5" w:rsidRPr="008E3CF5">
        <w:rPr>
          <w:lang w:eastAsia="bg-BG"/>
        </w:rPr>
        <w:t>2,1 млн. лв.</w:t>
      </w:r>
      <w:r w:rsidRPr="008E3CF5">
        <w:rPr>
          <w:lang w:eastAsia="bg-BG"/>
        </w:rPr>
        <w:t xml:space="preserve"> </w:t>
      </w:r>
      <w:r w:rsidR="008E3CF5" w:rsidRPr="0058038C">
        <w:t xml:space="preserve">От интеграционната добавка в размер на </w:t>
      </w:r>
      <w:r w:rsidR="008E3CF5">
        <w:t>0,7 млн.</w:t>
      </w:r>
      <w:r w:rsidR="008E3CF5" w:rsidRPr="0058038C">
        <w:t xml:space="preserve"> лв. са се възползвали </w:t>
      </w:r>
      <w:r w:rsidR="008E3CF5" w:rsidRPr="00B019A1">
        <w:rPr>
          <w:lang w:val="ru-RU"/>
        </w:rPr>
        <w:t>1 892</w:t>
      </w:r>
      <w:r w:rsidR="008E3CF5" w:rsidRPr="0058038C">
        <w:t xml:space="preserve"> украински граждани. Възнагражденията на 612 ментори са в размер на </w:t>
      </w:r>
      <w:r w:rsidR="008E3CF5">
        <w:t>0,2 млн.</w:t>
      </w:r>
      <w:r w:rsidR="008E3CF5" w:rsidRPr="0058038C">
        <w:t xml:space="preserve"> лв. За периода от 01.01.2023 г. до 30.06.2023 г. по проект „Солидарност” са постъпили 1 502 броя заявления от работодатели</w:t>
      </w:r>
      <w:r w:rsidR="008E3CF5" w:rsidRPr="00B019A1">
        <w:rPr>
          <w:lang w:val="ru-RU"/>
        </w:rPr>
        <w:t xml:space="preserve"> </w:t>
      </w:r>
      <w:r w:rsidR="008E3CF5" w:rsidRPr="0058038C">
        <w:t>за разкриване на 11 123 работни места. Започналите работа лица за периода са 3 051. Подписани са общо 916 броя договори за осигуряване на заетост по проекта на обща стойност 20</w:t>
      </w:r>
      <w:r w:rsidR="008E3CF5">
        <w:t>,</w:t>
      </w:r>
      <w:r w:rsidR="008E3CF5" w:rsidRPr="0058038C">
        <w:t>1</w:t>
      </w:r>
      <w:r w:rsidR="008E3CF5">
        <w:t xml:space="preserve"> млн.</w:t>
      </w:r>
      <w:r w:rsidR="008E3CF5" w:rsidRPr="0058038C">
        <w:t xml:space="preserve"> лв. за разкриване на 6 875 работни места. Активните договори към 30.06.2023 г. са 452 бр. на обща стойност 12</w:t>
      </w:r>
      <w:r w:rsidR="008E3CF5">
        <w:t>,</w:t>
      </w:r>
      <w:r w:rsidR="008E3CF5" w:rsidRPr="0058038C">
        <w:t>1</w:t>
      </w:r>
      <w:r w:rsidR="008E3CF5">
        <w:t xml:space="preserve"> млн. </w:t>
      </w:r>
      <w:r w:rsidR="008E3CF5" w:rsidRPr="0058038C">
        <w:t>лв., за 3 141 работни места, а прекратени и приключили са 464 договора на стойност 8</w:t>
      </w:r>
      <w:r w:rsidR="008E3CF5">
        <w:t>,0 млн.</w:t>
      </w:r>
      <w:r w:rsidR="008E3CF5" w:rsidRPr="0058038C">
        <w:t xml:space="preserve"> лв.</w:t>
      </w:r>
      <w:r w:rsidR="008E3CF5">
        <w:t xml:space="preserve"> </w:t>
      </w:r>
      <w:r w:rsidR="008E3CF5" w:rsidRPr="0058038C">
        <w:t>Най-много работни места са заявени в секторите: „Хотелиерство и ресторантьорство“, „Транспорт, складиране и пощи“, „Търговия на дребно, без търговия на автомобили и мотоциклети“.</w:t>
      </w:r>
    </w:p>
    <w:p w14:paraId="2C6C788E" w14:textId="028213DE" w:rsidR="004914C9" w:rsidRPr="00792C85" w:rsidRDefault="004914C9" w:rsidP="004914C9">
      <w:pPr>
        <w:spacing w:before="120"/>
        <w:jc w:val="both"/>
        <w:rPr>
          <w:lang w:eastAsia="bg-BG"/>
        </w:rPr>
      </w:pPr>
      <w:r w:rsidRPr="008E3CF5">
        <w:rPr>
          <w:lang w:eastAsia="bg-BG"/>
        </w:rPr>
        <w:t xml:space="preserve">Проектът се реализира по ОП РЧР 2014-2020, приоритетна ос 6 „Подкрепа за преодоляването на последиците от кризата, предизвикана от пандемията от COVID-19 и подготовка за екологично, цифрово и устойчиво възстановяване на икономиката”. Средствата по проекта се предоставят съгласно Регламент (ЕС) 2022/613 на Европейския Парламент и на  Съвета от 12 април 2022 година за изменение на Регламенти (ЕС) № 1303/2013 и (ЕС) № 223/2014 по отношение на увеличено предварително финансиране със средства по линия на REACT-EU и за определяне на разход за единица продукт. </w:t>
      </w:r>
      <w:r w:rsidRPr="00792C85">
        <w:rPr>
          <w:lang w:eastAsia="bg-BG"/>
        </w:rPr>
        <w:t xml:space="preserve">Чрез </w:t>
      </w:r>
      <w:r w:rsidR="00A417AF">
        <w:rPr>
          <w:lang w:eastAsia="bg-BG"/>
        </w:rPr>
        <w:t>п</w:t>
      </w:r>
      <w:r w:rsidRPr="00792C85">
        <w:rPr>
          <w:lang w:eastAsia="bg-BG"/>
        </w:rPr>
        <w:t>роект „Солидарност” се предоставя подкрепа чрез изплащане на:</w:t>
      </w:r>
    </w:p>
    <w:p w14:paraId="5859A9D7" w14:textId="000F7DDE" w:rsidR="004914C9" w:rsidRPr="00792C85" w:rsidRDefault="004914C9" w:rsidP="004914C9">
      <w:pPr>
        <w:ind w:firstLine="567"/>
        <w:jc w:val="both"/>
        <w:rPr>
          <w:lang w:eastAsia="bg-BG"/>
        </w:rPr>
      </w:pPr>
      <w:r w:rsidRPr="00792C85">
        <w:rPr>
          <w:lang w:eastAsia="bg-BG"/>
        </w:rPr>
        <w:t>-средства за възнаграждения на база минималната работна заплата, установена за страна и дължимите осигуровки за сметка на работодателите за период до 3 месеца, за наетите от него лица;</w:t>
      </w:r>
    </w:p>
    <w:p w14:paraId="02D5772C" w14:textId="51A4F49A" w:rsidR="004914C9" w:rsidRPr="00792C85" w:rsidRDefault="004914C9" w:rsidP="004914C9">
      <w:pPr>
        <w:ind w:firstLine="567"/>
        <w:jc w:val="both"/>
        <w:rPr>
          <w:lang w:eastAsia="bg-BG"/>
        </w:rPr>
      </w:pPr>
      <w:r w:rsidRPr="00792C85">
        <w:rPr>
          <w:lang w:eastAsia="bg-BG"/>
        </w:rPr>
        <w:t>-средства за възнаграждения на ментори, които подпомагат назначените лица за период до 3 месеца. Месечното възнаграждение е в размер на ½ от минималната работна заплата, установена за страната;</w:t>
      </w:r>
    </w:p>
    <w:p w14:paraId="52499332" w14:textId="29A87A7B" w:rsidR="004914C9" w:rsidRPr="00792C85" w:rsidRDefault="004914C9" w:rsidP="004914C9">
      <w:pPr>
        <w:ind w:firstLine="567"/>
        <w:jc w:val="both"/>
        <w:rPr>
          <w:lang w:eastAsia="bg-BG"/>
        </w:rPr>
      </w:pPr>
      <w:r w:rsidRPr="00792C85">
        <w:rPr>
          <w:lang w:eastAsia="bg-BG"/>
        </w:rPr>
        <w:t>-средства за интеграционна добавка за настаняване включваща разходи за наем, режийни разходи и интернет на наетите лица за период до 3 месеца в размер на 356,00 лв. на месец за едно лице;</w:t>
      </w:r>
    </w:p>
    <w:p w14:paraId="0E62A3B8" w14:textId="316CA224" w:rsidR="004914C9" w:rsidRDefault="004914C9" w:rsidP="004914C9">
      <w:pPr>
        <w:ind w:firstLine="567"/>
        <w:jc w:val="both"/>
        <w:rPr>
          <w:lang w:eastAsia="bg-BG"/>
        </w:rPr>
      </w:pPr>
      <w:r w:rsidRPr="00792C85">
        <w:rPr>
          <w:lang w:eastAsia="bg-BG"/>
        </w:rPr>
        <w:t>-средства за стимули, покриващи разходите за всички дължими вноски за сметка на работодателите, съгласно изискванията на КТ и КСО за останалите на работа лица, изчислени върху установената за страната минимална работна заплата за период, пропорционален на продължителността на субсидираната заетост.</w:t>
      </w:r>
    </w:p>
    <w:p w14:paraId="2D5AD80E" w14:textId="6925EB58" w:rsidR="00792C85" w:rsidRDefault="00792C85" w:rsidP="00792C85">
      <w:pPr>
        <w:ind w:firstLineChars="295" w:firstLine="708"/>
        <w:jc w:val="both"/>
      </w:pPr>
      <w:r>
        <w:rPr>
          <w:color w:val="000000"/>
        </w:rPr>
        <w:t xml:space="preserve">Към 30.06.2023 г. в изпълнение на Решение на Управителния </w:t>
      </w:r>
      <w:r w:rsidR="004F04CD">
        <w:rPr>
          <w:color w:val="000000"/>
        </w:rPr>
        <w:t xml:space="preserve">си </w:t>
      </w:r>
      <w:r>
        <w:rPr>
          <w:color w:val="000000"/>
        </w:rPr>
        <w:t>съвет</w:t>
      </w:r>
      <w:r w:rsidR="004F04CD">
        <w:rPr>
          <w:color w:val="000000"/>
        </w:rPr>
        <w:t xml:space="preserve"> </w:t>
      </w:r>
      <w:r>
        <w:rPr>
          <w:color w:val="000000"/>
        </w:rPr>
        <w:t>(Протокол № 206 от 13.01.2023 г. и 209 от 27.03.2023 г.) Държавен фонд „Земеделие“ е изплатил 177,6 млн. лв. п</w:t>
      </w:r>
      <w:r>
        <w:t>омощ в подкрепа на ликвидността на земеделски стопани за преодоляване на негативното икономическо въздействие на руската агресия срещу Украйна“ за 2022 и 2023 г. в рамките на одобреното финансиране с</w:t>
      </w:r>
      <w:r>
        <w:rPr>
          <w:color w:val="000000"/>
        </w:rPr>
        <w:t xml:space="preserve"> РМС 173 от 09.03.2023 г.</w:t>
      </w:r>
    </w:p>
    <w:p w14:paraId="0C1C9C1E" w14:textId="76FE1892" w:rsidR="00461390" w:rsidRPr="00F731D7" w:rsidRDefault="00F731D7" w:rsidP="00F731D7">
      <w:pPr>
        <w:pStyle w:val="Heading1"/>
        <w:spacing w:before="360"/>
        <w:ind w:left="142" w:right="-108"/>
        <w:jc w:val="both"/>
        <w:rPr>
          <w:sz w:val="24"/>
        </w:rPr>
      </w:pPr>
      <w:r>
        <w:rPr>
          <w:sz w:val="24"/>
        </w:rPr>
        <w:t xml:space="preserve">Мерки </w:t>
      </w:r>
      <w:r w:rsidRPr="00F731D7">
        <w:rPr>
          <w:sz w:val="24"/>
        </w:rPr>
        <w:t>в частта</w:t>
      </w:r>
      <w:r w:rsidR="00F36605">
        <w:rPr>
          <w:sz w:val="24"/>
        </w:rPr>
        <w:t xml:space="preserve"> на приходите</w:t>
      </w:r>
      <w:r w:rsidRPr="00F731D7">
        <w:rPr>
          <w:sz w:val="24"/>
        </w:rPr>
        <w:t xml:space="preserve"> относно</w:t>
      </w:r>
      <w:r w:rsidRPr="00F731D7">
        <w:t xml:space="preserve"> </w:t>
      </w:r>
      <w:r w:rsidRPr="00F731D7">
        <w:rPr>
          <w:sz w:val="24"/>
        </w:rPr>
        <w:t>социално-икономическите последици, свързани с енергийната криза и инфлационния натиск</w:t>
      </w:r>
      <w:r>
        <w:rPr>
          <w:sz w:val="24"/>
        </w:rPr>
        <w:t xml:space="preserve"> и и</w:t>
      </w:r>
      <w:r w:rsidR="00461390" w:rsidRPr="00FE6F3D">
        <w:rPr>
          <w:sz w:val="24"/>
        </w:rPr>
        <w:t>нформация за разходите по програмите за компенсиране на разходите на небитови крайни клиенти за електрическа енергия и на операторите на електропреносната и електроразпределителните мрежи за закупуване на количества електрическа енергия, потребена за технологични разходи</w:t>
      </w:r>
      <w:r>
        <w:rPr>
          <w:sz w:val="24"/>
          <w:lang w:val="en-US"/>
        </w:rPr>
        <w:t xml:space="preserve"> </w:t>
      </w:r>
      <w:r>
        <w:rPr>
          <w:sz w:val="24"/>
        </w:rPr>
        <w:t xml:space="preserve"> </w:t>
      </w:r>
    </w:p>
    <w:p w14:paraId="4E7B0E70" w14:textId="77777777" w:rsidR="00F731D7" w:rsidRDefault="00F731D7" w:rsidP="00F731D7">
      <w:pPr>
        <w:spacing w:before="120"/>
        <w:jc w:val="both"/>
      </w:pPr>
      <w:bookmarkStart w:id="3" w:name="_Toc109903429"/>
      <w:bookmarkStart w:id="4" w:name="_Toc109903430"/>
      <w:r>
        <w:t>Приетите със Закона за изменение и допълнение на ЗДБРБ за 2022 г. мерки за смекчаване на инфлационния натиск като нулева ставка на ДДС за доставките на хляб и брашно запазва действието си в срок до 31.12.2023 г., докато при мярката, свързана с освобождаване от акциз на електроенергия, природен газ и втечнен нефтен газ (LPG), срокът на действие се променя от 30.06.2025 г. на 31.07.2023 година.</w:t>
      </w:r>
    </w:p>
    <w:p w14:paraId="61E5BF91" w14:textId="77777777" w:rsidR="00F731D7" w:rsidRDefault="00F731D7" w:rsidP="00F731D7">
      <w:pPr>
        <w:spacing w:before="120"/>
        <w:jc w:val="both"/>
      </w:pPr>
      <w:r>
        <w:t>От началото на тази година се повиши и прагът за регистрация по ДДС за фирми, като тази мярка е оценена на 110,0 млн. лв. по-малко данъчни приходи.</w:t>
      </w:r>
    </w:p>
    <w:p w14:paraId="527FFD9C" w14:textId="4738924D" w:rsidR="00F731D7" w:rsidRDefault="00F731D7" w:rsidP="00F731D7">
      <w:pPr>
        <w:spacing w:before="120"/>
        <w:jc w:val="both"/>
      </w:pPr>
      <w:r>
        <w:t>През 2023 г. продължава действието на въведената временна солидарна вноска, която следва да се внася за генерираните свръхпечалби от дружествата и местата на стопанска дейност от Съюза, извършващи дейност в отраслите на суровия нефт, природния газ, въглищата и нефтопреработването. Разпоредбите на мярката са регламентирани в ЗКПО (§ 9 от ПРЗ на ЗКПО в сила от 8.10.2022 г. – ДВ, бр. 99 от 2022 г.) и следва да се внася за данъчните печалби за 2022</w:t>
      </w:r>
      <w:r w:rsidR="008C2C08">
        <w:t> </w:t>
      </w:r>
      <w:r>
        <w:t>г. и за 2023 година.</w:t>
      </w:r>
    </w:p>
    <w:p w14:paraId="2C5A0B5C" w14:textId="48A73A9A" w:rsidR="00FE6F3D" w:rsidRPr="00DB743A" w:rsidRDefault="00FE6F3D" w:rsidP="00F731D7">
      <w:pPr>
        <w:spacing w:before="120"/>
        <w:jc w:val="both"/>
      </w:pPr>
      <w:r w:rsidRPr="00FE6F3D">
        <w:t xml:space="preserve">Към 30.06.2023 г. приходите във </w:t>
      </w:r>
      <w:r w:rsidR="00896B3C">
        <w:t>ФСЕС</w:t>
      </w:r>
      <w:r w:rsidRPr="00FE6F3D">
        <w:t xml:space="preserve"> от</w:t>
      </w:r>
      <w:r w:rsidRPr="00FE6F3D">
        <w:rPr>
          <w:b/>
        </w:rPr>
        <w:t xml:space="preserve"> </w:t>
      </w:r>
      <w:r w:rsidRPr="00DB743A">
        <w:t>целеви вноски по § 8 от ПРЗ на Закона за прилагане на разпоредби на Закона за държавния бюджет на Република България за 2022 г., Закона за бюджета на държавното обществено осигуряване за 2022 г. и Закона за бюджета на Националната здравноосигурителна каса за 2022</w:t>
      </w:r>
      <w:r w:rsidR="0042007E">
        <w:rPr>
          <w:lang w:val="en-US"/>
        </w:rPr>
        <w:t> </w:t>
      </w:r>
      <w:r w:rsidRPr="00DB743A">
        <w:t>г</w:t>
      </w:r>
      <w:r w:rsidRPr="00A42BE2">
        <w:t>. (</w:t>
      </w:r>
      <w:r w:rsidR="00A42BE2" w:rsidRPr="00A42BE2">
        <w:t>отразени в частта на други данъци</w:t>
      </w:r>
      <w:r w:rsidRPr="00A42BE2">
        <w:t>) за покриване на разходи по одобрени от МС програми за компенсиране високите цени на енергията са в размер на</w:t>
      </w:r>
      <w:r w:rsidRPr="00FE4ECF">
        <w:rPr>
          <w:b/>
        </w:rPr>
        <w:t xml:space="preserve"> 676,6 млн. л</w:t>
      </w:r>
      <w:r w:rsidR="00DE24B0">
        <w:rPr>
          <w:b/>
        </w:rPr>
        <w:t>е</w:t>
      </w:r>
      <w:r w:rsidRPr="00FE4ECF">
        <w:rPr>
          <w:b/>
        </w:rPr>
        <w:t>в</w:t>
      </w:r>
      <w:r w:rsidR="00DE24B0">
        <w:rPr>
          <w:b/>
        </w:rPr>
        <w:t>а</w:t>
      </w:r>
      <w:r w:rsidRPr="00FE4ECF">
        <w:rPr>
          <w:b/>
        </w:rPr>
        <w:t xml:space="preserve">. </w:t>
      </w:r>
    </w:p>
    <w:p w14:paraId="15728FD5" w14:textId="67C046D3" w:rsidR="00FE6F3D" w:rsidRPr="00FE4ECF" w:rsidRDefault="00FE6F3D" w:rsidP="00F731D7">
      <w:pPr>
        <w:jc w:val="both"/>
      </w:pPr>
      <w:r w:rsidRPr="00DB743A">
        <w:t>Към 3</w:t>
      </w:r>
      <w:r>
        <w:t>0</w:t>
      </w:r>
      <w:r w:rsidRPr="00DB743A">
        <w:t>.0</w:t>
      </w:r>
      <w:r>
        <w:t>6</w:t>
      </w:r>
      <w:r w:rsidRPr="00DB743A">
        <w:t xml:space="preserve">.2023 г. </w:t>
      </w:r>
      <w:r w:rsidR="00896B3C">
        <w:t>ФСЕС</w:t>
      </w:r>
      <w:r w:rsidRPr="00DB743A">
        <w:rPr>
          <w:b/>
        </w:rPr>
        <w:t xml:space="preserve"> </w:t>
      </w:r>
      <w:r w:rsidRPr="00DB743A">
        <w:t xml:space="preserve">отчита разходи за субсидии в размер на </w:t>
      </w:r>
      <w:r w:rsidRPr="006C16FE">
        <w:rPr>
          <w:b/>
        </w:rPr>
        <w:t>575,</w:t>
      </w:r>
      <w:r>
        <w:rPr>
          <w:b/>
        </w:rPr>
        <w:t>3</w:t>
      </w:r>
      <w:r w:rsidRPr="006C16FE">
        <w:rPr>
          <w:b/>
        </w:rPr>
        <w:t xml:space="preserve"> млн. лв. </w:t>
      </w:r>
      <w:r w:rsidRPr="00FE4ECF">
        <w:t>за компенсиране разходите на небитовите крайни клиенти за електрическа енергия и на операторите на електропреносната и на електроразпределителните мрежи за закупуване на количествата електрическа енергия, потребена за технологични разходи, от които 355,6 млн. лв. по РМС № 534 и РМС № 710 от 2022 г. и 219,7 м</w:t>
      </w:r>
      <w:r w:rsidR="00564C46">
        <w:t>лн. лв. по РМС № 104 от 2023 г.</w:t>
      </w:r>
    </w:p>
    <w:p w14:paraId="7E991952" w14:textId="0FD88DCF" w:rsidR="00B019A1" w:rsidRPr="00F171F9" w:rsidRDefault="00B019A1" w:rsidP="00F171F9">
      <w:pPr>
        <w:pStyle w:val="Heading1"/>
        <w:spacing w:before="360"/>
        <w:ind w:left="142" w:right="-108"/>
        <w:jc w:val="both"/>
        <w:rPr>
          <w:sz w:val="24"/>
        </w:rPr>
      </w:pPr>
      <w:r w:rsidRPr="002C3AD2">
        <w:rPr>
          <w:sz w:val="24"/>
        </w:rPr>
        <w:t xml:space="preserve">Информация за ефектите в приходите и разходите от мерките за борба с COVID-19 и преодоляване на социално-икономическите последствия </w:t>
      </w:r>
      <w:bookmarkEnd w:id="3"/>
      <w:r w:rsidR="00F171F9" w:rsidRPr="00F171F9">
        <w:rPr>
          <w:sz w:val="24"/>
        </w:rPr>
        <w:t>от пандемията</w:t>
      </w:r>
    </w:p>
    <w:p w14:paraId="526D6030" w14:textId="77777777" w:rsidR="00B019A1" w:rsidRPr="006E13CF" w:rsidRDefault="00B019A1" w:rsidP="00B019A1">
      <w:pPr>
        <w:rPr>
          <w:sz w:val="12"/>
          <w:szCs w:val="12"/>
          <w:highlight w:val="yellow"/>
          <w:lang w:eastAsia="bg-BG"/>
        </w:rPr>
      </w:pPr>
    </w:p>
    <w:p w14:paraId="3A73B9A8" w14:textId="77777777" w:rsidR="00670B23" w:rsidRDefault="00670B23" w:rsidP="00670B23">
      <w:pPr>
        <w:spacing w:after="120"/>
        <w:ind w:right="-43"/>
        <w:jc w:val="both"/>
        <w:rPr>
          <w:lang w:eastAsia="bg-BG"/>
        </w:rPr>
      </w:pPr>
      <w:r>
        <w:rPr>
          <w:lang w:eastAsia="bg-BG"/>
        </w:rPr>
        <w:t xml:space="preserve">Приетите през предходните години мерки, свързани с прилагане на намалена ставка за ДДС на определени стоки и услуги от 20 % на 9 %, и увеличаване на размера на данъчните облекчения за деца (чл. 22в и чл. 22г от ЗДДФЛ) ще продължат да се прилагат и през 2023 г. Удължен е срокът на действие и на намалената ставка за доставки на ресторантьорски и кетъринг услуги, за доставки на обща туристическа услуга и за доставка на услуга за използване на спортни съоръжения до края на годината. От 1 януари 2023 г. като постоянна мярка са въведени намалените данъчни ставки на ДДС в размер на 9 % за доставка на книги, на храна, подходяща за бебета или за малки деца и на бебешките пелени и подобни хигиенни артикули. Намалената ставка на ДДС от 9 % за доставките на природен газ и централно отопление ще се прилага до края на месец юни 2023 г. </w:t>
      </w:r>
    </w:p>
    <w:p w14:paraId="42AC3E4C" w14:textId="5EA6D2B0" w:rsidR="00136893" w:rsidRPr="006E13CF" w:rsidRDefault="00136893" w:rsidP="00136893">
      <w:pPr>
        <w:spacing w:after="120"/>
        <w:ind w:right="-43"/>
        <w:jc w:val="both"/>
        <w:rPr>
          <w:lang w:eastAsia="bg-BG"/>
        </w:rPr>
      </w:pPr>
      <w:r w:rsidRPr="00F731D7">
        <w:rPr>
          <w:lang w:eastAsia="bg-BG"/>
        </w:rPr>
        <w:t>Извън мерките</w:t>
      </w:r>
      <w:r w:rsidR="006977BF" w:rsidRPr="00F731D7">
        <w:rPr>
          <w:lang w:eastAsia="bg-BG"/>
        </w:rPr>
        <w:t>,</w:t>
      </w:r>
      <w:r w:rsidRPr="00F731D7">
        <w:rPr>
          <w:lang w:eastAsia="bg-BG"/>
        </w:rPr>
        <w:t xml:space="preserve"> целящи преодоляване на последствията от пандемията и енергийната криза, в сила от 1.03.2023 г. е въведен акцизен календар за поетапно увеличаване на ставките на тютюна и тютюневите изделия за период от четири години. С измененията в ЗАДС (съгласно т.2 на § 31 от ПЗР на ЗИД на ДОПК, изм., обн. ДВ, бр. 100 от 2022 г., в сила от 1.03.2023 г.) е въведена и дефиниция за „течност за електронна цигара, съдържаща никотин"</w:t>
      </w:r>
      <w:r w:rsidR="006977BF" w:rsidRPr="00F731D7">
        <w:rPr>
          <w:lang w:eastAsia="bg-BG"/>
        </w:rPr>
        <w:t>,</w:t>
      </w:r>
      <w:r w:rsidRPr="00F731D7">
        <w:rPr>
          <w:lang w:eastAsia="bg-BG"/>
        </w:rPr>
        <w:t xml:space="preserve"> като същата става част от тютюневите изделия (нов чл. 12б от ЗАДС).</w:t>
      </w:r>
    </w:p>
    <w:p w14:paraId="1A087407" w14:textId="77777777" w:rsidR="00B019A1" w:rsidRPr="00B7633A" w:rsidRDefault="00B019A1" w:rsidP="00B019A1">
      <w:pPr>
        <w:spacing w:before="240" w:after="120"/>
        <w:ind w:right="-45"/>
        <w:jc w:val="both"/>
        <w:rPr>
          <w:b/>
          <w:i/>
          <w:lang w:val="ru-RU" w:eastAsia="bg-BG"/>
        </w:rPr>
      </w:pPr>
      <w:r w:rsidRPr="00B7633A">
        <w:rPr>
          <w:b/>
          <w:i/>
          <w:lang w:eastAsia="bg-BG"/>
        </w:rPr>
        <w:t>Мерки в частта на разходите</w:t>
      </w:r>
    </w:p>
    <w:p w14:paraId="5157F46D" w14:textId="77777777" w:rsidR="00B019A1" w:rsidRPr="00B7633A" w:rsidRDefault="00B019A1" w:rsidP="00B019A1">
      <w:pPr>
        <w:spacing w:before="120" w:after="120"/>
        <w:jc w:val="both"/>
        <w:rPr>
          <w:lang w:eastAsia="bg-BG"/>
        </w:rPr>
      </w:pPr>
      <w:r w:rsidRPr="00B7633A">
        <w:rPr>
          <w:lang w:eastAsia="bg-BG"/>
        </w:rPr>
        <w:t>В касовите отчети на ПРБ и общините към 3</w:t>
      </w:r>
      <w:r w:rsidRPr="00B7633A">
        <w:rPr>
          <w:lang w:val="ru-RU" w:eastAsia="bg-BG"/>
        </w:rPr>
        <w:t>0</w:t>
      </w:r>
      <w:r w:rsidRPr="00B7633A">
        <w:rPr>
          <w:lang w:eastAsia="bg-BG"/>
        </w:rPr>
        <w:t>.0</w:t>
      </w:r>
      <w:r w:rsidRPr="00B7633A">
        <w:rPr>
          <w:lang w:val="ru-RU" w:eastAsia="bg-BG"/>
        </w:rPr>
        <w:t>6</w:t>
      </w:r>
      <w:r w:rsidRPr="00B7633A">
        <w:rPr>
          <w:lang w:eastAsia="bg-BG"/>
        </w:rPr>
        <w:t>.202</w:t>
      </w:r>
      <w:r w:rsidRPr="00B7633A">
        <w:rPr>
          <w:lang w:val="ru-RU" w:eastAsia="bg-BG"/>
        </w:rPr>
        <w:t>3</w:t>
      </w:r>
      <w:r w:rsidRPr="00B7633A">
        <w:rPr>
          <w:lang w:eastAsia="bg-BG"/>
        </w:rPr>
        <w:t xml:space="preserve"> г. са </w:t>
      </w:r>
      <w:r w:rsidRPr="00680273">
        <w:rPr>
          <w:lang w:eastAsia="bg-BG"/>
        </w:rPr>
        <w:t xml:space="preserve">отчетени </w:t>
      </w:r>
      <w:r w:rsidRPr="00680273">
        <w:rPr>
          <w:b/>
          <w:lang w:val="ru-RU" w:eastAsia="bg-BG"/>
        </w:rPr>
        <w:t>17</w:t>
      </w:r>
      <w:r w:rsidRPr="00680273">
        <w:rPr>
          <w:b/>
          <w:lang w:eastAsia="bg-BG"/>
        </w:rPr>
        <w:t>,3 млн. лв.</w:t>
      </w:r>
      <w:r w:rsidRPr="00680273">
        <w:rPr>
          <w:lang w:eastAsia="bg-BG"/>
        </w:rPr>
        <w:t xml:space="preserve"> разходи </w:t>
      </w:r>
      <w:r w:rsidRPr="00B7633A">
        <w:rPr>
          <w:lang w:eastAsia="bg-BG"/>
        </w:rPr>
        <w:t xml:space="preserve">за мерките за борба с COVID-19 и преодоляване на социално-икономическите последствия от пандемията. </w:t>
      </w:r>
    </w:p>
    <w:p w14:paraId="3648E92B" w14:textId="0D86FBD9" w:rsidR="00B019A1" w:rsidRPr="00B6551F" w:rsidRDefault="00B019A1" w:rsidP="00B019A1">
      <w:pPr>
        <w:spacing w:after="120"/>
        <w:jc w:val="both"/>
        <w:rPr>
          <w:b/>
          <w:color w:val="0070C0"/>
          <w:lang w:eastAsia="bg-BG"/>
        </w:rPr>
      </w:pPr>
      <w:r w:rsidRPr="00680273">
        <w:rPr>
          <w:lang w:eastAsia="bg-BG"/>
        </w:rPr>
        <w:t xml:space="preserve">В частта на </w:t>
      </w:r>
      <w:r w:rsidRPr="00680273">
        <w:rPr>
          <w:b/>
          <w:lang w:eastAsia="bg-BG"/>
        </w:rPr>
        <w:t>мерките за подкрепа на домакинствата</w:t>
      </w:r>
      <w:r w:rsidRPr="00680273">
        <w:rPr>
          <w:lang w:eastAsia="bg-BG"/>
        </w:rPr>
        <w:t xml:space="preserve"> са изразходвани </w:t>
      </w:r>
      <w:r w:rsidRPr="00680273">
        <w:rPr>
          <w:b/>
          <w:lang w:eastAsia="bg-BG"/>
        </w:rPr>
        <w:t>1,</w:t>
      </w:r>
      <w:r w:rsidRPr="00680273">
        <w:rPr>
          <w:b/>
          <w:lang w:val="ru-RU" w:eastAsia="bg-BG"/>
        </w:rPr>
        <w:t>3</w:t>
      </w:r>
      <w:r w:rsidRPr="00680273">
        <w:rPr>
          <w:b/>
          <w:lang w:eastAsia="bg-BG"/>
        </w:rPr>
        <w:t xml:space="preserve"> млн. лв. </w:t>
      </w:r>
      <w:r w:rsidRPr="00680273">
        <w:rPr>
          <w:lang w:eastAsia="bg-BG"/>
        </w:rPr>
        <w:t>по линия на националния бюджет</w:t>
      </w:r>
      <w:r w:rsidR="007474DC">
        <w:rPr>
          <w:lang w:eastAsia="bg-BG"/>
        </w:rPr>
        <w:t>, главно плащания чрез бюджета на НОИ</w:t>
      </w:r>
      <w:r>
        <w:rPr>
          <w:lang w:eastAsia="bg-BG"/>
        </w:rPr>
        <w:t>.</w:t>
      </w:r>
    </w:p>
    <w:p w14:paraId="4405BE8F" w14:textId="77777777" w:rsidR="00B019A1" w:rsidRPr="00763DCB" w:rsidRDefault="00B019A1" w:rsidP="00B019A1">
      <w:pPr>
        <w:jc w:val="both"/>
      </w:pPr>
      <w:r w:rsidRPr="00763DCB">
        <w:t xml:space="preserve">През първото полугодие на 2023 г. не са изразходвани средства за </w:t>
      </w:r>
      <w:r w:rsidRPr="00763DCB">
        <w:rPr>
          <w:b/>
        </w:rPr>
        <w:t>мерки в подкрепа на бизнеса.</w:t>
      </w:r>
    </w:p>
    <w:p w14:paraId="2B6C5AFA" w14:textId="77777777" w:rsidR="00B019A1" w:rsidRPr="0055349C" w:rsidRDefault="00B019A1" w:rsidP="00B019A1">
      <w:pPr>
        <w:jc w:val="both"/>
        <w:rPr>
          <w:color w:val="0070C0"/>
          <w:sz w:val="8"/>
          <w:szCs w:val="8"/>
          <w:lang w:val="ru-RU"/>
        </w:rPr>
      </w:pPr>
    </w:p>
    <w:p w14:paraId="65295B74" w14:textId="64436C31" w:rsidR="00AD5F24" w:rsidRPr="0055349C" w:rsidRDefault="00B019A1" w:rsidP="00C562E5">
      <w:pPr>
        <w:spacing w:after="120"/>
        <w:jc w:val="both"/>
        <w:rPr>
          <w:rFonts w:ascii="Calibri" w:eastAsia="Calibri" w:hAnsi="Calibri"/>
          <w:color w:val="0070C0"/>
          <w:sz w:val="22"/>
          <w:szCs w:val="22"/>
          <w:lang w:val="ru-RU"/>
        </w:rPr>
      </w:pPr>
      <w:r w:rsidRPr="00763DCB">
        <w:rPr>
          <w:b/>
          <w:lang w:eastAsia="bg-BG"/>
        </w:rPr>
        <w:t>За</w:t>
      </w:r>
      <w:r w:rsidRPr="00763DCB">
        <w:rPr>
          <w:lang w:eastAsia="bg-BG"/>
        </w:rPr>
        <w:t xml:space="preserve"> </w:t>
      </w:r>
      <w:r w:rsidRPr="00763DCB">
        <w:rPr>
          <w:b/>
          <w:lang w:eastAsia="bg-BG"/>
        </w:rPr>
        <w:t xml:space="preserve">мерки за органите на държавното управление, натоварени с дейности по овладяване на пандемията и </w:t>
      </w:r>
      <w:r w:rsidRPr="009F5A15">
        <w:rPr>
          <w:b/>
          <w:lang w:eastAsia="bg-BG"/>
        </w:rPr>
        <w:t>последствията от COVID-19</w:t>
      </w:r>
      <w:r w:rsidRPr="009F5A15">
        <w:rPr>
          <w:lang w:eastAsia="bg-BG"/>
        </w:rPr>
        <w:t xml:space="preserve"> по държавния бюджет и бюджетите на общините за първите шест месеца на 2023 г. са предоставени общо</w:t>
      </w:r>
      <w:r w:rsidRPr="009F5A15">
        <w:rPr>
          <w:b/>
          <w:lang w:eastAsia="bg-BG"/>
        </w:rPr>
        <w:t xml:space="preserve"> </w:t>
      </w:r>
      <w:r w:rsidRPr="009F5A15">
        <w:rPr>
          <w:b/>
          <w:lang w:val="ru-RU" w:eastAsia="bg-BG"/>
        </w:rPr>
        <w:t>16</w:t>
      </w:r>
      <w:r w:rsidRPr="009F5A15">
        <w:rPr>
          <w:b/>
          <w:lang w:eastAsia="bg-BG"/>
        </w:rPr>
        <w:t>,1</w:t>
      </w:r>
      <w:r w:rsidRPr="009F5A15">
        <w:rPr>
          <w:lang w:eastAsia="bg-BG"/>
        </w:rPr>
        <w:t xml:space="preserve"> </w:t>
      </w:r>
      <w:r w:rsidRPr="009F5A15">
        <w:rPr>
          <w:b/>
          <w:lang w:eastAsia="bg-BG"/>
        </w:rPr>
        <w:t>млн. лв</w:t>
      </w:r>
      <w:r w:rsidRPr="009F5A15">
        <w:rPr>
          <w:b/>
          <w:lang w:val="ru-RU" w:eastAsia="bg-BG"/>
        </w:rPr>
        <w:t>.</w:t>
      </w:r>
      <w:r w:rsidRPr="009F5A15">
        <w:rPr>
          <w:lang w:val="ru-RU" w:eastAsia="bg-BG"/>
        </w:rPr>
        <w:t xml:space="preserve"> </w:t>
      </w:r>
      <w:r w:rsidRPr="009F5A15">
        <w:rPr>
          <w:lang w:eastAsia="bg-BG"/>
        </w:rPr>
        <w:t>С най-голям дял са разходите за подкрепа на персонала на първа линия, пряко ангажиран с дейности по предотвратяване разпространението на COVID-19, вкл. за поставяне на ваксини срещу COVID-19</w:t>
      </w:r>
      <w:r w:rsidRPr="009F5A15">
        <w:rPr>
          <w:lang w:val="ru-RU" w:eastAsia="bg-BG"/>
        </w:rPr>
        <w:t xml:space="preserve"> - </w:t>
      </w:r>
      <w:r w:rsidRPr="009F5A15">
        <w:rPr>
          <w:lang w:eastAsia="bg-BG"/>
        </w:rPr>
        <w:t xml:space="preserve">11,1 млн. лв. </w:t>
      </w:r>
      <w:r w:rsidRPr="009F5A15">
        <w:rPr>
          <w:lang w:val="ru-RU" w:eastAsia="bg-BG"/>
        </w:rPr>
        <w:t xml:space="preserve"> </w:t>
      </w:r>
      <w:r w:rsidRPr="009F5A15">
        <w:rPr>
          <w:lang w:eastAsia="bg-BG"/>
        </w:rPr>
        <w:t>От общините за противоепидемични мерки са изразходени средства в размер на 4,2 млн. лева.</w:t>
      </w:r>
      <w:bookmarkEnd w:id="4"/>
      <w:r w:rsidR="00AD5F24" w:rsidRPr="0055349C">
        <w:rPr>
          <w:rFonts w:ascii="Calibri" w:eastAsia="Calibri" w:hAnsi="Calibri"/>
          <w:color w:val="0070C0"/>
          <w:sz w:val="22"/>
          <w:szCs w:val="22"/>
          <w:lang w:val="ru-RU"/>
        </w:rPr>
        <w:br w:type="page"/>
      </w:r>
    </w:p>
    <w:p w14:paraId="53A9593D" w14:textId="539EB040" w:rsidR="00E74802" w:rsidRPr="0023269D" w:rsidRDefault="00E74802" w:rsidP="000F1EB1">
      <w:pPr>
        <w:pStyle w:val="Heading1"/>
        <w:numPr>
          <w:ilvl w:val="0"/>
          <w:numId w:val="9"/>
        </w:numPr>
        <w:ind w:right="-108"/>
        <w:jc w:val="both"/>
        <w:rPr>
          <w:sz w:val="24"/>
        </w:rPr>
      </w:pPr>
      <w:r w:rsidRPr="0023269D">
        <w:rPr>
          <w:sz w:val="24"/>
        </w:rPr>
        <w:t>Основни показатели по консолидираната фискална програма</w:t>
      </w:r>
      <w:r w:rsidRPr="0023269D">
        <w:rPr>
          <w:rStyle w:val="FootnoteReference"/>
          <w:sz w:val="24"/>
        </w:rPr>
        <w:footnoteReference w:id="3"/>
      </w:r>
      <w:r w:rsidRPr="0023269D">
        <w:rPr>
          <w:sz w:val="24"/>
        </w:rPr>
        <w:t xml:space="preserve"> за </w:t>
      </w:r>
      <w:r w:rsidR="000F1EB1" w:rsidRPr="0023269D">
        <w:rPr>
          <w:sz w:val="24"/>
        </w:rPr>
        <w:t xml:space="preserve">първото </w:t>
      </w:r>
      <w:r w:rsidR="0023269D" w:rsidRPr="0023269D">
        <w:rPr>
          <w:sz w:val="24"/>
        </w:rPr>
        <w:t xml:space="preserve">полугодие </w:t>
      </w:r>
      <w:r w:rsidRPr="0023269D">
        <w:rPr>
          <w:sz w:val="24"/>
        </w:rPr>
        <w:t>на 20</w:t>
      </w:r>
      <w:r w:rsidR="001F7F82" w:rsidRPr="0023269D">
        <w:rPr>
          <w:sz w:val="24"/>
        </w:rPr>
        <w:t>2</w:t>
      </w:r>
      <w:r w:rsidR="000F1EB1" w:rsidRPr="0023269D">
        <w:rPr>
          <w:sz w:val="24"/>
        </w:rPr>
        <w:t>3</w:t>
      </w:r>
      <w:r w:rsidRPr="0023269D">
        <w:rPr>
          <w:sz w:val="24"/>
        </w:rPr>
        <w:t> г.</w:t>
      </w:r>
    </w:p>
    <w:p w14:paraId="22D16163" w14:textId="77777777" w:rsidR="00430A35" w:rsidRPr="0055349C" w:rsidRDefault="00430A35" w:rsidP="00430A35">
      <w:pPr>
        <w:rPr>
          <w:color w:val="0070C0"/>
          <w:sz w:val="6"/>
          <w:szCs w:val="12"/>
        </w:rPr>
      </w:pPr>
    </w:p>
    <w:p w14:paraId="5591DFD7" w14:textId="77777777" w:rsidR="005B6C1F" w:rsidRPr="0055349C" w:rsidRDefault="005B6C1F" w:rsidP="00E863AA">
      <w:pPr>
        <w:jc w:val="both"/>
        <w:rPr>
          <w:color w:val="0070C0"/>
          <w:lang w:val="ru-RU"/>
        </w:rPr>
      </w:pPr>
    </w:p>
    <w:p w14:paraId="0DDAB24D" w14:textId="77777777" w:rsidR="0010424C" w:rsidRPr="00726846" w:rsidRDefault="0010424C" w:rsidP="0010424C">
      <w:pPr>
        <w:jc w:val="both"/>
      </w:pPr>
      <w:r w:rsidRPr="00726846">
        <w:t>Изпълнението на основните показатели по консолидираната фискална програма за първото полугодие на 2023 г. е представено в следната таблица:</w:t>
      </w:r>
    </w:p>
    <w:p w14:paraId="19F6FE9B" w14:textId="77777777" w:rsidR="0010424C" w:rsidRPr="0055349C" w:rsidRDefault="0010424C" w:rsidP="0010424C">
      <w:pPr>
        <w:jc w:val="both"/>
        <w:rPr>
          <w:color w:val="0070C0"/>
          <w:sz w:val="4"/>
          <w:szCs w:val="4"/>
        </w:rPr>
      </w:pPr>
    </w:p>
    <w:p w14:paraId="3392307D" w14:textId="77777777" w:rsidR="0010424C" w:rsidRPr="00726846" w:rsidRDefault="0010424C" w:rsidP="0010424C">
      <w:pPr>
        <w:spacing w:before="120"/>
        <w:rPr>
          <w:b/>
          <w:i/>
          <w:sz w:val="18"/>
          <w:szCs w:val="18"/>
        </w:rPr>
      </w:pPr>
      <w:r w:rsidRPr="00726846">
        <w:rPr>
          <w:b/>
          <w:i/>
          <w:sz w:val="22"/>
          <w:szCs w:val="22"/>
        </w:rPr>
        <w:t>Таблица</w:t>
      </w:r>
      <w:r w:rsidRPr="00726846">
        <w:rPr>
          <w:b/>
          <w:i/>
          <w:sz w:val="22"/>
          <w:szCs w:val="22"/>
          <w:vertAlign w:val="superscript"/>
        </w:rPr>
        <w:footnoteReference w:id="4"/>
      </w:r>
      <w:r w:rsidRPr="00726846">
        <w:rPr>
          <w:b/>
          <w:i/>
          <w:sz w:val="22"/>
          <w:szCs w:val="22"/>
        </w:rPr>
        <w:t xml:space="preserve"> №1</w:t>
      </w:r>
      <w:r w:rsidRPr="00726846">
        <w:rPr>
          <w:b/>
          <w:i/>
          <w:sz w:val="22"/>
          <w:szCs w:val="22"/>
        </w:rPr>
        <w:tab/>
      </w:r>
      <w:r w:rsidRPr="00726846">
        <w:rPr>
          <w:b/>
          <w:i/>
          <w:sz w:val="22"/>
          <w:szCs w:val="22"/>
        </w:rPr>
        <w:tab/>
      </w:r>
      <w:r w:rsidRPr="00726846">
        <w:rPr>
          <w:b/>
          <w:i/>
          <w:sz w:val="22"/>
          <w:szCs w:val="22"/>
        </w:rPr>
        <w:tab/>
      </w:r>
      <w:r w:rsidRPr="00726846">
        <w:rPr>
          <w:b/>
          <w:i/>
          <w:sz w:val="22"/>
          <w:szCs w:val="22"/>
        </w:rPr>
        <w:tab/>
      </w:r>
      <w:r w:rsidRPr="00726846">
        <w:rPr>
          <w:b/>
          <w:i/>
          <w:sz w:val="22"/>
          <w:szCs w:val="22"/>
        </w:rPr>
        <w:tab/>
      </w:r>
      <w:r w:rsidRPr="00726846">
        <w:rPr>
          <w:b/>
          <w:i/>
          <w:sz w:val="22"/>
          <w:szCs w:val="22"/>
        </w:rPr>
        <w:tab/>
      </w:r>
      <w:r w:rsidRPr="00726846">
        <w:rPr>
          <w:b/>
          <w:i/>
          <w:sz w:val="22"/>
          <w:szCs w:val="22"/>
        </w:rPr>
        <w:tab/>
      </w:r>
      <w:r w:rsidRPr="00726846">
        <w:rPr>
          <w:b/>
          <w:i/>
          <w:sz w:val="22"/>
          <w:szCs w:val="22"/>
        </w:rPr>
        <w:tab/>
      </w:r>
      <w:r w:rsidRPr="00726846">
        <w:rPr>
          <w:b/>
          <w:i/>
          <w:sz w:val="22"/>
          <w:szCs w:val="22"/>
        </w:rPr>
        <w:tab/>
      </w:r>
      <w:r w:rsidRPr="00726846">
        <w:rPr>
          <w:b/>
          <w:i/>
          <w:sz w:val="22"/>
          <w:szCs w:val="22"/>
        </w:rPr>
        <w:tab/>
      </w:r>
      <w:r w:rsidRPr="00726846">
        <w:rPr>
          <w:b/>
          <w:i/>
          <w:sz w:val="22"/>
          <w:szCs w:val="22"/>
        </w:rPr>
        <w:tab/>
      </w:r>
      <w:r w:rsidRPr="00726846">
        <w:rPr>
          <w:b/>
          <w:i/>
          <w:sz w:val="18"/>
          <w:szCs w:val="18"/>
        </w:rPr>
        <w:t>(млн. лв.)</w:t>
      </w:r>
    </w:p>
    <w:tbl>
      <w:tblPr>
        <w:tblW w:w="10254" w:type="dxa"/>
        <w:tblInd w:w="98" w:type="dxa"/>
        <w:tblLook w:val="04A0" w:firstRow="1" w:lastRow="0" w:firstColumn="1" w:lastColumn="0" w:noHBand="0" w:noVBand="1"/>
      </w:tblPr>
      <w:tblGrid>
        <w:gridCol w:w="4250"/>
        <w:gridCol w:w="1287"/>
        <w:gridCol w:w="1087"/>
        <w:gridCol w:w="1222"/>
        <w:gridCol w:w="1199"/>
        <w:gridCol w:w="1209"/>
      </w:tblGrid>
      <w:tr w:rsidR="0010424C" w:rsidRPr="0055349C" w14:paraId="43C80234" w14:textId="77777777" w:rsidTr="000B330C">
        <w:trPr>
          <w:trHeight w:val="265"/>
        </w:trPr>
        <w:tc>
          <w:tcPr>
            <w:tcW w:w="4250" w:type="dxa"/>
            <w:vMerge w:val="restart"/>
            <w:tcBorders>
              <w:top w:val="single" w:sz="8" w:space="0" w:color="auto"/>
              <w:left w:val="single" w:sz="8" w:space="0" w:color="auto"/>
              <w:bottom w:val="single" w:sz="4" w:space="0" w:color="000000"/>
              <w:right w:val="nil"/>
            </w:tcBorders>
            <w:shd w:val="clear" w:color="000000" w:fill="D9D9D9"/>
            <w:noWrap/>
            <w:vAlign w:val="bottom"/>
            <w:hideMark/>
          </w:tcPr>
          <w:p w14:paraId="0A5AFD63" w14:textId="77777777" w:rsidR="0010424C" w:rsidRPr="00163B57" w:rsidRDefault="0010424C" w:rsidP="000B330C">
            <w:pPr>
              <w:jc w:val="center"/>
              <w:rPr>
                <w:b/>
                <w:bCs/>
                <w:sz w:val="18"/>
                <w:szCs w:val="18"/>
              </w:rPr>
            </w:pPr>
            <w:r w:rsidRPr="00163B57">
              <w:rPr>
                <w:b/>
                <w:bCs/>
                <w:sz w:val="18"/>
                <w:szCs w:val="18"/>
              </w:rPr>
              <w:t>ПОКАЗАТЕЛ</w:t>
            </w:r>
          </w:p>
        </w:tc>
        <w:tc>
          <w:tcPr>
            <w:tcW w:w="1287" w:type="dxa"/>
            <w:tcBorders>
              <w:top w:val="single" w:sz="8" w:space="0" w:color="auto"/>
              <w:left w:val="single" w:sz="4" w:space="0" w:color="auto"/>
              <w:bottom w:val="nil"/>
              <w:right w:val="single" w:sz="4" w:space="0" w:color="auto"/>
            </w:tcBorders>
            <w:shd w:val="clear" w:color="000000" w:fill="D9D9D9"/>
            <w:noWrap/>
            <w:vAlign w:val="bottom"/>
            <w:hideMark/>
          </w:tcPr>
          <w:p w14:paraId="5FB76780" w14:textId="77777777" w:rsidR="0010424C" w:rsidRPr="00163B57" w:rsidRDefault="0010424C" w:rsidP="000B330C">
            <w:pPr>
              <w:jc w:val="center"/>
              <w:rPr>
                <w:b/>
                <w:bCs/>
                <w:sz w:val="18"/>
                <w:szCs w:val="18"/>
                <w:highlight w:val="yellow"/>
              </w:rPr>
            </w:pPr>
            <w:r w:rsidRPr="00163B57">
              <w:rPr>
                <w:b/>
                <w:bCs/>
                <w:sz w:val="18"/>
                <w:szCs w:val="18"/>
              </w:rPr>
              <w:t>Отчет към 30.06.2022 г.</w:t>
            </w:r>
          </w:p>
        </w:tc>
        <w:tc>
          <w:tcPr>
            <w:tcW w:w="3508" w:type="dxa"/>
            <w:gridSpan w:val="3"/>
            <w:tcBorders>
              <w:top w:val="single" w:sz="8" w:space="0" w:color="auto"/>
              <w:left w:val="nil"/>
              <w:bottom w:val="single" w:sz="4" w:space="0" w:color="auto"/>
              <w:right w:val="single" w:sz="4" w:space="0" w:color="auto"/>
            </w:tcBorders>
            <w:shd w:val="clear" w:color="000000" w:fill="D9D9D9"/>
            <w:noWrap/>
            <w:vAlign w:val="center"/>
            <w:hideMark/>
          </w:tcPr>
          <w:p w14:paraId="1A0A7D9B" w14:textId="77777777" w:rsidR="0010424C" w:rsidRPr="00163B57" w:rsidRDefault="0010424C" w:rsidP="000B330C">
            <w:pPr>
              <w:jc w:val="center"/>
              <w:rPr>
                <w:b/>
                <w:bCs/>
                <w:sz w:val="18"/>
                <w:szCs w:val="18"/>
              </w:rPr>
            </w:pPr>
            <w:r w:rsidRPr="00163B57">
              <w:rPr>
                <w:b/>
                <w:bCs/>
                <w:sz w:val="18"/>
                <w:szCs w:val="18"/>
              </w:rPr>
              <w:t>Отчет към 30.06.20</w:t>
            </w:r>
            <w:r w:rsidRPr="00163B57">
              <w:rPr>
                <w:b/>
                <w:bCs/>
                <w:sz w:val="18"/>
                <w:szCs w:val="18"/>
                <w:lang w:val="en-US"/>
              </w:rPr>
              <w:t>2</w:t>
            </w:r>
            <w:r w:rsidRPr="00163B57">
              <w:rPr>
                <w:b/>
                <w:bCs/>
                <w:sz w:val="18"/>
                <w:szCs w:val="18"/>
              </w:rPr>
              <w:t>3 г.</w:t>
            </w:r>
          </w:p>
        </w:tc>
        <w:tc>
          <w:tcPr>
            <w:tcW w:w="1209" w:type="dxa"/>
            <w:tcBorders>
              <w:top w:val="single" w:sz="8" w:space="0" w:color="auto"/>
              <w:left w:val="nil"/>
              <w:bottom w:val="nil"/>
              <w:right w:val="single" w:sz="8" w:space="0" w:color="auto"/>
            </w:tcBorders>
            <w:shd w:val="clear" w:color="000000" w:fill="D9D9D9"/>
            <w:noWrap/>
            <w:vAlign w:val="bottom"/>
            <w:hideMark/>
          </w:tcPr>
          <w:p w14:paraId="1F817090" w14:textId="77777777" w:rsidR="0010424C" w:rsidRPr="00163B57" w:rsidRDefault="0010424C" w:rsidP="000B330C">
            <w:pPr>
              <w:jc w:val="center"/>
              <w:rPr>
                <w:b/>
                <w:bCs/>
                <w:sz w:val="18"/>
                <w:szCs w:val="18"/>
              </w:rPr>
            </w:pPr>
            <w:r w:rsidRPr="00163B57">
              <w:rPr>
                <w:b/>
                <w:bCs/>
                <w:sz w:val="18"/>
                <w:szCs w:val="18"/>
              </w:rPr>
              <w:t>Изпълнение</w:t>
            </w:r>
          </w:p>
        </w:tc>
      </w:tr>
      <w:tr w:rsidR="0010424C" w:rsidRPr="0055349C" w14:paraId="1F51BB4A" w14:textId="77777777" w:rsidTr="000B330C">
        <w:trPr>
          <w:trHeight w:val="250"/>
        </w:trPr>
        <w:tc>
          <w:tcPr>
            <w:tcW w:w="4250" w:type="dxa"/>
            <w:vMerge/>
            <w:tcBorders>
              <w:top w:val="single" w:sz="8" w:space="0" w:color="auto"/>
              <w:left w:val="single" w:sz="8" w:space="0" w:color="auto"/>
              <w:bottom w:val="single" w:sz="4" w:space="0" w:color="000000"/>
              <w:right w:val="nil"/>
            </w:tcBorders>
            <w:vAlign w:val="center"/>
            <w:hideMark/>
          </w:tcPr>
          <w:p w14:paraId="6B096013" w14:textId="77777777" w:rsidR="0010424C" w:rsidRPr="00163B57" w:rsidRDefault="0010424C" w:rsidP="000B330C">
            <w:pPr>
              <w:rPr>
                <w:b/>
                <w:bCs/>
                <w:sz w:val="18"/>
                <w:szCs w:val="18"/>
              </w:rPr>
            </w:pPr>
          </w:p>
        </w:tc>
        <w:tc>
          <w:tcPr>
            <w:tcW w:w="1287" w:type="dxa"/>
            <w:tcBorders>
              <w:top w:val="nil"/>
              <w:left w:val="single" w:sz="4" w:space="0" w:color="auto"/>
              <w:bottom w:val="single" w:sz="4" w:space="0" w:color="auto"/>
              <w:right w:val="single" w:sz="4" w:space="0" w:color="auto"/>
            </w:tcBorders>
            <w:shd w:val="clear" w:color="000000" w:fill="D9D9D9"/>
            <w:noWrap/>
            <w:vAlign w:val="bottom"/>
            <w:hideMark/>
          </w:tcPr>
          <w:p w14:paraId="61B7BB47" w14:textId="77777777" w:rsidR="0010424C" w:rsidRPr="00163B57" w:rsidRDefault="0010424C" w:rsidP="000B330C">
            <w:pPr>
              <w:jc w:val="center"/>
              <w:rPr>
                <w:b/>
                <w:bCs/>
                <w:sz w:val="18"/>
                <w:szCs w:val="18"/>
              </w:rPr>
            </w:pPr>
            <w:r w:rsidRPr="00163B57">
              <w:rPr>
                <w:b/>
                <w:bCs/>
                <w:sz w:val="18"/>
                <w:szCs w:val="18"/>
              </w:rPr>
              <w:t xml:space="preserve"> КФП</w:t>
            </w:r>
          </w:p>
        </w:tc>
        <w:tc>
          <w:tcPr>
            <w:tcW w:w="1087" w:type="dxa"/>
            <w:tcBorders>
              <w:top w:val="nil"/>
              <w:left w:val="nil"/>
              <w:bottom w:val="single" w:sz="4" w:space="0" w:color="auto"/>
              <w:right w:val="single" w:sz="4" w:space="0" w:color="auto"/>
            </w:tcBorders>
            <w:shd w:val="clear" w:color="000000" w:fill="D9D9D9"/>
            <w:noWrap/>
            <w:vAlign w:val="bottom"/>
            <w:hideMark/>
          </w:tcPr>
          <w:p w14:paraId="60986EBA" w14:textId="77777777" w:rsidR="0010424C" w:rsidRPr="00163B57" w:rsidRDefault="0010424C" w:rsidP="000B330C">
            <w:pPr>
              <w:jc w:val="center"/>
              <w:rPr>
                <w:b/>
                <w:bCs/>
                <w:sz w:val="18"/>
                <w:szCs w:val="18"/>
              </w:rPr>
            </w:pPr>
            <w:r w:rsidRPr="00163B57">
              <w:rPr>
                <w:b/>
                <w:bCs/>
                <w:sz w:val="18"/>
                <w:szCs w:val="18"/>
              </w:rPr>
              <w:t xml:space="preserve"> КФП</w:t>
            </w:r>
          </w:p>
        </w:tc>
        <w:tc>
          <w:tcPr>
            <w:tcW w:w="1222" w:type="dxa"/>
            <w:tcBorders>
              <w:top w:val="nil"/>
              <w:left w:val="nil"/>
              <w:bottom w:val="single" w:sz="4" w:space="0" w:color="auto"/>
              <w:right w:val="single" w:sz="4" w:space="0" w:color="auto"/>
            </w:tcBorders>
            <w:shd w:val="clear" w:color="000000" w:fill="D9D9D9"/>
            <w:noWrap/>
            <w:vAlign w:val="bottom"/>
            <w:hideMark/>
          </w:tcPr>
          <w:p w14:paraId="52DCD0E7" w14:textId="77777777" w:rsidR="0010424C" w:rsidRPr="00163B57" w:rsidRDefault="0010424C" w:rsidP="000B330C">
            <w:pPr>
              <w:jc w:val="center"/>
              <w:rPr>
                <w:b/>
                <w:bCs/>
                <w:sz w:val="18"/>
                <w:szCs w:val="18"/>
              </w:rPr>
            </w:pPr>
            <w:r w:rsidRPr="00163B57">
              <w:rPr>
                <w:b/>
                <w:bCs/>
                <w:sz w:val="18"/>
                <w:szCs w:val="18"/>
              </w:rPr>
              <w:t>Национален бюджет</w:t>
            </w:r>
          </w:p>
        </w:tc>
        <w:tc>
          <w:tcPr>
            <w:tcW w:w="1199" w:type="dxa"/>
            <w:tcBorders>
              <w:top w:val="nil"/>
              <w:left w:val="nil"/>
              <w:bottom w:val="single" w:sz="4" w:space="0" w:color="auto"/>
              <w:right w:val="single" w:sz="4" w:space="0" w:color="auto"/>
            </w:tcBorders>
            <w:shd w:val="clear" w:color="000000" w:fill="D9D9D9"/>
            <w:noWrap/>
            <w:vAlign w:val="bottom"/>
            <w:hideMark/>
          </w:tcPr>
          <w:p w14:paraId="7C470701" w14:textId="77777777" w:rsidR="0010424C" w:rsidRPr="00163B57" w:rsidRDefault="0010424C" w:rsidP="000B330C">
            <w:pPr>
              <w:jc w:val="center"/>
              <w:rPr>
                <w:b/>
                <w:bCs/>
                <w:sz w:val="18"/>
                <w:szCs w:val="18"/>
              </w:rPr>
            </w:pPr>
            <w:r w:rsidRPr="00163B57">
              <w:rPr>
                <w:b/>
                <w:bCs/>
                <w:sz w:val="18"/>
                <w:szCs w:val="18"/>
              </w:rPr>
              <w:t>Европейски средства</w:t>
            </w:r>
          </w:p>
        </w:tc>
        <w:tc>
          <w:tcPr>
            <w:tcW w:w="1209" w:type="dxa"/>
            <w:tcBorders>
              <w:top w:val="nil"/>
              <w:left w:val="nil"/>
              <w:bottom w:val="single" w:sz="4" w:space="0" w:color="auto"/>
              <w:right w:val="single" w:sz="8" w:space="0" w:color="auto"/>
            </w:tcBorders>
            <w:shd w:val="clear" w:color="000000" w:fill="D9D9D9"/>
            <w:noWrap/>
            <w:vAlign w:val="bottom"/>
            <w:hideMark/>
          </w:tcPr>
          <w:p w14:paraId="4BE4B071" w14:textId="77777777" w:rsidR="0010424C" w:rsidRPr="00163B57" w:rsidRDefault="0010424C" w:rsidP="000B330C">
            <w:pPr>
              <w:jc w:val="center"/>
              <w:rPr>
                <w:b/>
                <w:bCs/>
                <w:sz w:val="18"/>
                <w:szCs w:val="18"/>
              </w:rPr>
            </w:pPr>
            <w:r w:rsidRPr="00163B57">
              <w:rPr>
                <w:b/>
                <w:bCs/>
                <w:sz w:val="18"/>
                <w:szCs w:val="18"/>
              </w:rPr>
              <w:t>спрямо 2022 г.</w:t>
            </w:r>
          </w:p>
        </w:tc>
      </w:tr>
      <w:tr w:rsidR="0010424C" w:rsidRPr="0055349C" w14:paraId="7BA851B8" w14:textId="77777777" w:rsidTr="000B330C">
        <w:trPr>
          <w:trHeight w:val="265"/>
        </w:trPr>
        <w:tc>
          <w:tcPr>
            <w:tcW w:w="4250" w:type="dxa"/>
            <w:tcBorders>
              <w:top w:val="nil"/>
              <w:left w:val="single" w:sz="8" w:space="0" w:color="auto"/>
              <w:bottom w:val="single" w:sz="8" w:space="0" w:color="auto"/>
              <w:right w:val="nil"/>
            </w:tcBorders>
            <w:shd w:val="clear" w:color="000000" w:fill="D9D9D9"/>
            <w:noWrap/>
            <w:vAlign w:val="bottom"/>
            <w:hideMark/>
          </w:tcPr>
          <w:p w14:paraId="1D8AD05D" w14:textId="77777777" w:rsidR="0010424C" w:rsidRPr="00163B57" w:rsidRDefault="0010424C" w:rsidP="000B330C">
            <w:pPr>
              <w:jc w:val="center"/>
              <w:rPr>
                <w:sz w:val="18"/>
                <w:szCs w:val="18"/>
              </w:rPr>
            </w:pPr>
            <w:r w:rsidRPr="00163B57">
              <w:rPr>
                <w:sz w:val="18"/>
                <w:szCs w:val="18"/>
              </w:rPr>
              <w:t>к.1</w:t>
            </w:r>
          </w:p>
        </w:tc>
        <w:tc>
          <w:tcPr>
            <w:tcW w:w="1287" w:type="dxa"/>
            <w:tcBorders>
              <w:top w:val="nil"/>
              <w:left w:val="single" w:sz="4" w:space="0" w:color="auto"/>
              <w:bottom w:val="single" w:sz="8" w:space="0" w:color="auto"/>
              <w:right w:val="single" w:sz="4" w:space="0" w:color="auto"/>
            </w:tcBorders>
            <w:shd w:val="clear" w:color="000000" w:fill="D9D9D9"/>
            <w:noWrap/>
            <w:vAlign w:val="bottom"/>
            <w:hideMark/>
          </w:tcPr>
          <w:p w14:paraId="71684863" w14:textId="77777777" w:rsidR="0010424C" w:rsidRPr="00163B57" w:rsidRDefault="0010424C" w:rsidP="000B330C">
            <w:pPr>
              <w:jc w:val="center"/>
              <w:rPr>
                <w:bCs/>
                <w:sz w:val="18"/>
                <w:szCs w:val="18"/>
              </w:rPr>
            </w:pPr>
            <w:r w:rsidRPr="00163B57">
              <w:rPr>
                <w:bCs/>
                <w:sz w:val="18"/>
                <w:szCs w:val="18"/>
              </w:rPr>
              <w:t>к.2</w:t>
            </w:r>
          </w:p>
        </w:tc>
        <w:tc>
          <w:tcPr>
            <w:tcW w:w="1087" w:type="dxa"/>
            <w:tcBorders>
              <w:top w:val="nil"/>
              <w:left w:val="nil"/>
              <w:bottom w:val="single" w:sz="8" w:space="0" w:color="auto"/>
              <w:right w:val="single" w:sz="4" w:space="0" w:color="auto"/>
            </w:tcBorders>
            <w:shd w:val="clear" w:color="000000" w:fill="D9D9D9"/>
            <w:noWrap/>
            <w:vAlign w:val="bottom"/>
            <w:hideMark/>
          </w:tcPr>
          <w:p w14:paraId="48ADFE8B" w14:textId="77777777" w:rsidR="0010424C" w:rsidRPr="00163B57" w:rsidRDefault="0010424C" w:rsidP="000B330C">
            <w:pPr>
              <w:jc w:val="center"/>
              <w:rPr>
                <w:sz w:val="18"/>
                <w:szCs w:val="18"/>
              </w:rPr>
            </w:pPr>
            <w:r w:rsidRPr="00163B57">
              <w:rPr>
                <w:sz w:val="18"/>
                <w:szCs w:val="18"/>
              </w:rPr>
              <w:t>к.3=к.4+к.5</w:t>
            </w:r>
          </w:p>
        </w:tc>
        <w:tc>
          <w:tcPr>
            <w:tcW w:w="1222" w:type="dxa"/>
            <w:tcBorders>
              <w:top w:val="nil"/>
              <w:left w:val="nil"/>
              <w:bottom w:val="single" w:sz="8" w:space="0" w:color="auto"/>
              <w:right w:val="single" w:sz="4" w:space="0" w:color="auto"/>
            </w:tcBorders>
            <w:shd w:val="clear" w:color="000000" w:fill="D9D9D9"/>
            <w:noWrap/>
            <w:vAlign w:val="bottom"/>
            <w:hideMark/>
          </w:tcPr>
          <w:p w14:paraId="560AE8A5" w14:textId="77777777" w:rsidR="0010424C" w:rsidRPr="00163B57" w:rsidRDefault="0010424C" w:rsidP="000B330C">
            <w:pPr>
              <w:jc w:val="center"/>
              <w:rPr>
                <w:sz w:val="18"/>
                <w:szCs w:val="18"/>
              </w:rPr>
            </w:pPr>
            <w:r w:rsidRPr="00163B57">
              <w:rPr>
                <w:sz w:val="18"/>
                <w:szCs w:val="18"/>
              </w:rPr>
              <w:t>к.4</w:t>
            </w:r>
          </w:p>
        </w:tc>
        <w:tc>
          <w:tcPr>
            <w:tcW w:w="1199" w:type="dxa"/>
            <w:tcBorders>
              <w:top w:val="nil"/>
              <w:left w:val="nil"/>
              <w:bottom w:val="single" w:sz="8" w:space="0" w:color="auto"/>
              <w:right w:val="single" w:sz="4" w:space="0" w:color="auto"/>
            </w:tcBorders>
            <w:shd w:val="clear" w:color="000000" w:fill="D9D9D9"/>
            <w:noWrap/>
            <w:vAlign w:val="bottom"/>
            <w:hideMark/>
          </w:tcPr>
          <w:p w14:paraId="7B8BED16" w14:textId="77777777" w:rsidR="0010424C" w:rsidRPr="00163B57" w:rsidRDefault="0010424C" w:rsidP="000B330C">
            <w:pPr>
              <w:jc w:val="center"/>
              <w:rPr>
                <w:sz w:val="18"/>
                <w:szCs w:val="18"/>
              </w:rPr>
            </w:pPr>
            <w:r w:rsidRPr="00163B57">
              <w:rPr>
                <w:sz w:val="18"/>
                <w:szCs w:val="18"/>
              </w:rPr>
              <w:t>к.5</w:t>
            </w:r>
          </w:p>
        </w:tc>
        <w:tc>
          <w:tcPr>
            <w:tcW w:w="1209" w:type="dxa"/>
            <w:tcBorders>
              <w:top w:val="nil"/>
              <w:left w:val="nil"/>
              <w:bottom w:val="single" w:sz="8" w:space="0" w:color="auto"/>
              <w:right w:val="single" w:sz="8" w:space="0" w:color="auto"/>
            </w:tcBorders>
            <w:shd w:val="clear" w:color="000000" w:fill="D9D9D9"/>
            <w:noWrap/>
            <w:vAlign w:val="bottom"/>
            <w:hideMark/>
          </w:tcPr>
          <w:p w14:paraId="42135B74" w14:textId="77777777" w:rsidR="0010424C" w:rsidRPr="00163B57" w:rsidRDefault="0010424C" w:rsidP="000B330C">
            <w:pPr>
              <w:jc w:val="center"/>
              <w:rPr>
                <w:bCs/>
                <w:sz w:val="18"/>
                <w:szCs w:val="18"/>
              </w:rPr>
            </w:pPr>
            <w:r w:rsidRPr="00163B57">
              <w:rPr>
                <w:bCs/>
                <w:sz w:val="18"/>
                <w:szCs w:val="18"/>
              </w:rPr>
              <w:t>к.6=к.3:к.2</w:t>
            </w:r>
          </w:p>
        </w:tc>
      </w:tr>
      <w:tr w:rsidR="0010424C" w:rsidRPr="0055349C" w14:paraId="7668C252" w14:textId="77777777" w:rsidTr="000B330C">
        <w:trPr>
          <w:trHeight w:val="250"/>
        </w:trPr>
        <w:tc>
          <w:tcPr>
            <w:tcW w:w="4250" w:type="dxa"/>
            <w:tcBorders>
              <w:top w:val="single" w:sz="8" w:space="0" w:color="auto"/>
              <w:left w:val="single" w:sz="8" w:space="0" w:color="auto"/>
              <w:bottom w:val="nil"/>
              <w:right w:val="single" w:sz="4" w:space="0" w:color="auto"/>
            </w:tcBorders>
            <w:shd w:val="clear" w:color="auto" w:fill="auto"/>
            <w:noWrap/>
            <w:vAlign w:val="bottom"/>
            <w:hideMark/>
          </w:tcPr>
          <w:p w14:paraId="03540538" w14:textId="77777777" w:rsidR="0010424C" w:rsidRPr="00163B57" w:rsidRDefault="0010424C" w:rsidP="000B330C">
            <w:pPr>
              <w:rPr>
                <w:b/>
                <w:bCs/>
                <w:sz w:val="18"/>
                <w:szCs w:val="18"/>
              </w:rPr>
            </w:pPr>
            <w:r w:rsidRPr="00163B57">
              <w:rPr>
                <w:b/>
                <w:bCs/>
                <w:sz w:val="18"/>
                <w:szCs w:val="18"/>
              </w:rPr>
              <w:t>ПРИХОДИ, ПОМОЩИ И ДАРЕНИЯ</w:t>
            </w:r>
          </w:p>
        </w:tc>
        <w:tc>
          <w:tcPr>
            <w:tcW w:w="1287" w:type="dxa"/>
            <w:tcBorders>
              <w:top w:val="nil"/>
              <w:left w:val="single" w:sz="4" w:space="0" w:color="auto"/>
              <w:bottom w:val="nil"/>
              <w:right w:val="nil"/>
            </w:tcBorders>
            <w:shd w:val="clear" w:color="auto" w:fill="auto"/>
            <w:noWrap/>
            <w:vAlign w:val="bottom"/>
            <w:hideMark/>
          </w:tcPr>
          <w:p w14:paraId="4958F51C" w14:textId="77777777" w:rsidR="0010424C" w:rsidRPr="0055349C" w:rsidRDefault="0010424C" w:rsidP="000B330C">
            <w:pPr>
              <w:jc w:val="right"/>
              <w:rPr>
                <w:b/>
                <w:bCs/>
                <w:color w:val="0070C0"/>
                <w:sz w:val="18"/>
                <w:szCs w:val="18"/>
              </w:rPr>
            </w:pPr>
            <w:r>
              <w:rPr>
                <w:b/>
                <w:bCs/>
                <w:sz w:val="18"/>
                <w:szCs w:val="18"/>
              </w:rPr>
              <w:t>28 247,9</w:t>
            </w:r>
          </w:p>
        </w:tc>
        <w:tc>
          <w:tcPr>
            <w:tcW w:w="1087" w:type="dxa"/>
            <w:tcBorders>
              <w:top w:val="nil"/>
              <w:left w:val="nil"/>
              <w:bottom w:val="nil"/>
              <w:right w:val="nil"/>
            </w:tcBorders>
            <w:shd w:val="clear" w:color="auto" w:fill="auto"/>
            <w:noWrap/>
            <w:vAlign w:val="bottom"/>
            <w:hideMark/>
          </w:tcPr>
          <w:p w14:paraId="74BFFCC0" w14:textId="77777777" w:rsidR="0010424C" w:rsidRPr="0055349C" w:rsidRDefault="0010424C" w:rsidP="000B330C">
            <w:pPr>
              <w:jc w:val="right"/>
              <w:rPr>
                <w:b/>
                <w:bCs/>
                <w:color w:val="0070C0"/>
                <w:sz w:val="18"/>
                <w:szCs w:val="18"/>
              </w:rPr>
            </w:pPr>
            <w:r>
              <w:rPr>
                <w:b/>
                <w:bCs/>
                <w:sz w:val="18"/>
                <w:szCs w:val="18"/>
              </w:rPr>
              <w:t>31 404,0</w:t>
            </w:r>
          </w:p>
        </w:tc>
        <w:tc>
          <w:tcPr>
            <w:tcW w:w="1222" w:type="dxa"/>
            <w:tcBorders>
              <w:top w:val="nil"/>
              <w:left w:val="nil"/>
              <w:bottom w:val="nil"/>
              <w:right w:val="nil"/>
            </w:tcBorders>
            <w:shd w:val="clear" w:color="auto" w:fill="auto"/>
            <w:noWrap/>
            <w:vAlign w:val="bottom"/>
            <w:hideMark/>
          </w:tcPr>
          <w:p w14:paraId="045050D5" w14:textId="77777777" w:rsidR="0010424C" w:rsidRPr="0055349C" w:rsidRDefault="0010424C" w:rsidP="000B330C">
            <w:pPr>
              <w:jc w:val="right"/>
              <w:rPr>
                <w:b/>
                <w:bCs/>
                <w:color w:val="0070C0"/>
                <w:sz w:val="18"/>
                <w:szCs w:val="18"/>
              </w:rPr>
            </w:pPr>
            <w:r>
              <w:rPr>
                <w:b/>
                <w:bCs/>
                <w:color w:val="000000"/>
                <w:sz w:val="18"/>
                <w:szCs w:val="18"/>
              </w:rPr>
              <w:t>30 286,0</w:t>
            </w:r>
          </w:p>
        </w:tc>
        <w:tc>
          <w:tcPr>
            <w:tcW w:w="1199" w:type="dxa"/>
            <w:tcBorders>
              <w:top w:val="nil"/>
              <w:left w:val="nil"/>
              <w:bottom w:val="nil"/>
              <w:right w:val="nil"/>
            </w:tcBorders>
            <w:shd w:val="clear" w:color="auto" w:fill="auto"/>
            <w:noWrap/>
            <w:vAlign w:val="bottom"/>
            <w:hideMark/>
          </w:tcPr>
          <w:p w14:paraId="1839B141" w14:textId="77777777" w:rsidR="0010424C" w:rsidRPr="0055349C" w:rsidRDefault="0010424C" w:rsidP="000B330C">
            <w:pPr>
              <w:jc w:val="right"/>
              <w:rPr>
                <w:b/>
                <w:bCs/>
                <w:color w:val="0070C0"/>
                <w:sz w:val="18"/>
                <w:szCs w:val="18"/>
              </w:rPr>
            </w:pPr>
            <w:r>
              <w:rPr>
                <w:b/>
                <w:bCs/>
                <w:color w:val="000000"/>
                <w:sz w:val="18"/>
                <w:szCs w:val="18"/>
              </w:rPr>
              <w:t>1 118,0</w:t>
            </w:r>
          </w:p>
        </w:tc>
        <w:tc>
          <w:tcPr>
            <w:tcW w:w="1209" w:type="dxa"/>
            <w:tcBorders>
              <w:top w:val="single" w:sz="8" w:space="0" w:color="auto"/>
              <w:left w:val="nil"/>
              <w:bottom w:val="nil"/>
              <w:right w:val="single" w:sz="4" w:space="0" w:color="auto"/>
            </w:tcBorders>
            <w:shd w:val="clear" w:color="auto" w:fill="auto"/>
            <w:noWrap/>
            <w:vAlign w:val="bottom"/>
            <w:hideMark/>
          </w:tcPr>
          <w:p w14:paraId="7851D517" w14:textId="77777777" w:rsidR="0010424C" w:rsidRPr="0055349C" w:rsidRDefault="0010424C" w:rsidP="000B330C">
            <w:pPr>
              <w:jc w:val="right"/>
              <w:rPr>
                <w:b/>
                <w:bCs/>
                <w:color w:val="0070C0"/>
                <w:sz w:val="18"/>
                <w:szCs w:val="18"/>
                <w:highlight w:val="yellow"/>
              </w:rPr>
            </w:pPr>
            <w:r>
              <w:rPr>
                <w:b/>
                <w:bCs/>
                <w:sz w:val="18"/>
                <w:szCs w:val="18"/>
              </w:rPr>
              <w:t>111,2%</w:t>
            </w:r>
          </w:p>
        </w:tc>
      </w:tr>
      <w:tr w:rsidR="0010424C" w:rsidRPr="0055349C" w14:paraId="6BB84FE2" w14:textId="77777777" w:rsidTr="000B330C">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2BF3C471" w14:textId="77777777" w:rsidR="0010424C" w:rsidRPr="00163B57" w:rsidRDefault="0010424C" w:rsidP="000B330C">
            <w:pPr>
              <w:rPr>
                <w:sz w:val="18"/>
                <w:szCs w:val="18"/>
              </w:rPr>
            </w:pPr>
            <w:r w:rsidRPr="00163B57">
              <w:rPr>
                <w:sz w:val="18"/>
                <w:szCs w:val="18"/>
              </w:rPr>
              <w:t xml:space="preserve">  Данъчни приходи</w:t>
            </w:r>
          </w:p>
        </w:tc>
        <w:tc>
          <w:tcPr>
            <w:tcW w:w="1287" w:type="dxa"/>
            <w:tcBorders>
              <w:top w:val="nil"/>
              <w:left w:val="single" w:sz="4" w:space="0" w:color="auto"/>
              <w:bottom w:val="nil"/>
              <w:right w:val="nil"/>
            </w:tcBorders>
            <w:shd w:val="clear" w:color="auto" w:fill="auto"/>
            <w:noWrap/>
            <w:vAlign w:val="bottom"/>
            <w:hideMark/>
          </w:tcPr>
          <w:p w14:paraId="41C3F83F" w14:textId="77777777" w:rsidR="0010424C" w:rsidRPr="0055349C" w:rsidRDefault="0010424C" w:rsidP="000B330C">
            <w:pPr>
              <w:jc w:val="right"/>
              <w:rPr>
                <w:color w:val="0070C0"/>
                <w:sz w:val="18"/>
                <w:szCs w:val="18"/>
              </w:rPr>
            </w:pPr>
            <w:r>
              <w:rPr>
                <w:sz w:val="18"/>
                <w:szCs w:val="18"/>
              </w:rPr>
              <w:t>22 239,0</w:t>
            </w:r>
          </w:p>
        </w:tc>
        <w:tc>
          <w:tcPr>
            <w:tcW w:w="1087" w:type="dxa"/>
            <w:tcBorders>
              <w:top w:val="nil"/>
              <w:left w:val="nil"/>
              <w:bottom w:val="nil"/>
              <w:right w:val="nil"/>
            </w:tcBorders>
            <w:shd w:val="clear" w:color="auto" w:fill="auto"/>
            <w:noWrap/>
            <w:vAlign w:val="bottom"/>
            <w:hideMark/>
          </w:tcPr>
          <w:p w14:paraId="16175085" w14:textId="77777777" w:rsidR="0010424C" w:rsidRPr="0055349C" w:rsidRDefault="0010424C" w:rsidP="000B330C">
            <w:pPr>
              <w:jc w:val="right"/>
              <w:rPr>
                <w:color w:val="0070C0"/>
                <w:sz w:val="18"/>
                <w:szCs w:val="18"/>
              </w:rPr>
            </w:pPr>
            <w:r>
              <w:rPr>
                <w:sz w:val="18"/>
                <w:szCs w:val="18"/>
              </w:rPr>
              <w:t>24 580,4</w:t>
            </w:r>
          </w:p>
        </w:tc>
        <w:tc>
          <w:tcPr>
            <w:tcW w:w="1222" w:type="dxa"/>
            <w:tcBorders>
              <w:top w:val="nil"/>
              <w:left w:val="nil"/>
              <w:bottom w:val="nil"/>
              <w:right w:val="nil"/>
            </w:tcBorders>
            <w:shd w:val="clear" w:color="auto" w:fill="auto"/>
            <w:noWrap/>
            <w:vAlign w:val="bottom"/>
            <w:hideMark/>
          </w:tcPr>
          <w:p w14:paraId="1778CAAC" w14:textId="77777777" w:rsidR="0010424C" w:rsidRPr="0055349C" w:rsidRDefault="0010424C" w:rsidP="000B330C">
            <w:pPr>
              <w:jc w:val="right"/>
              <w:rPr>
                <w:color w:val="0070C0"/>
                <w:sz w:val="18"/>
                <w:szCs w:val="18"/>
              </w:rPr>
            </w:pPr>
            <w:r>
              <w:rPr>
                <w:color w:val="000000"/>
                <w:sz w:val="18"/>
                <w:szCs w:val="18"/>
              </w:rPr>
              <w:t>24 580,4</w:t>
            </w:r>
          </w:p>
        </w:tc>
        <w:tc>
          <w:tcPr>
            <w:tcW w:w="1199" w:type="dxa"/>
            <w:tcBorders>
              <w:top w:val="nil"/>
              <w:left w:val="nil"/>
              <w:bottom w:val="nil"/>
              <w:right w:val="nil"/>
            </w:tcBorders>
            <w:shd w:val="clear" w:color="auto" w:fill="auto"/>
            <w:noWrap/>
            <w:vAlign w:val="bottom"/>
            <w:hideMark/>
          </w:tcPr>
          <w:p w14:paraId="1003DF7C" w14:textId="77777777" w:rsidR="0010424C" w:rsidRPr="0055349C" w:rsidRDefault="0010424C" w:rsidP="000B330C">
            <w:pPr>
              <w:jc w:val="right"/>
              <w:rPr>
                <w:color w:val="0070C0"/>
                <w:sz w:val="18"/>
                <w:szCs w:val="18"/>
              </w:rPr>
            </w:pPr>
          </w:p>
        </w:tc>
        <w:tc>
          <w:tcPr>
            <w:tcW w:w="1209" w:type="dxa"/>
            <w:tcBorders>
              <w:top w:val="nil"/>
              <w:left w:val="nil"/>
              <w:bottom w:val="nil"/>
              <w:right w:val="single" w:sz="4" w:space="0" w:color="auto"/>
            </w:tcBorders>
            <w:shd w:val="clear" w:color="auto" w:fill="auto"/>
            <w:noWrap/>
            <w:vAlign w:val="bottom"/>
            <w:hideMark/>
          </w:tcPr>
          <w:p w14:paraId="7FA157F5" w14:textId="77777777" w:rsidR="0010424C" w:rsidRPr="0055349C" w:rsidRDefault="0010424C" w:rsidP="000B330C">
            <w:pPr>
              <w:jc w:val="right"/>
              <w:rPr>
                <w:color w:val="0070C0"/>
                <w:sz w:val="18"/>
                <w:szCs w:val="18"/>
                <w:highlight w:val="yellow"/>
              </w:rPr>
            </w:pPr>
            <w:r>
              <w:rPr>
                <w:sz w:val="18"/>
                <w:szCs w:val="18"/>
              </w:rPr>
              <w:t>110,5%</w:t>
            </w:r>
          </w:p>
        </w:tc>
      </w:tr>
      <w:tr w:rsidR="0010424C" w:rsidRPr="0055349C" w14:paraId="18DE957B" w14:textId="77777777" w:rsidTr="000B330C">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18DD70F0" w14:textId="77777777" w:rsidR="0010424C" w:rsidRPr="00163B57" w:rsidRDefault="0010424C" w:rsidP="000B330C">
            <w:pPr>
              <w:rPr>
                <w:sz w:val="18"/>
                <w:szCs w:val="18"/>
              </w:rPr>
            </w:pPr>
            <w:r w:rsidRPr="00163B57">
              <w:rPr>
                <w:sz w:val="18"/>
                <w:szCs w:val="18"/>
              </w:rPr>
              <w:t xml:space="preserve">  Неданъчни приходи</w:t>
            </w:r>
          </w:p>
        </w:tc>
        <w:tc>
          <w:tcPr>
            <w:tcW w:w="1287" w:type="dxa"/>
            <w:tcBorders>
              <w:top w:val="nil"/>
              <w:left w:val="single" w:sz="4" w:space="0" w:color="auto"/>
              <w:bottom w:val="nil"/>
              <w:right w:val="nil"/>
            </w:tcBorders>
            <w:shd w:val="clear" w:color="auto" w:fill="auto"/>
            <w:noWrap/>
            <w:vAlign w:val="bottom"/>
            <w:hideMark/>
          </w:tcPr>
          <w:p w14:paraId="024266F5" w14:textId="77777777" w:rsidR="0010424C" w:rsidRPr="0055349C" w:rsidRDefault="0010424C" w:rsidP="000B330C">
            <w:pPr>
              <w:jc w:val="right"/>
              <w:rPr>
                <w:color w:val="0070C0"/>
                <w:sz w:val="18"/>
                <w:szCs w:val="18"/>
              </w:rPr>
            </w:pPr>
            <w:r>
              <w:rPr>
                <w:sz w:val="18"/>
                <w:szCs w:val="18"/>
              </w:rPr>
              <w:t>4 591,3</w:t>
            </w:r>
          </w:p>
        </w:tc>
        <w:tc>
          <w:tcPr>
            <w:tcW w:w="1087" w:type="dxa"/>
            <w:tcBorders>
              <w:top w:val="nil"/>
              <w:left w:val="nil"/>
              <w:bottom w:val="nil"/>
              <w:right w:val="nil"/>
            </w:tcBorders>
            <w:shd w:val="clear" w:color="auto" w:fill="auto"/>
            <w:noWrap/>
            <w:vAlign w:val="bottom"/>
            <w:hideMark/>
          </w:tcPr>
          <w:p w14:paraId="48746838" w14:textId="77777777" w:rsidR="0010424C" w:rsidRPr="0055349C" w:rsidRDefault="0010424C" w:rsidP="000B330C">
            <w:pPr>
              <w:jc w:val="right"/>
              <w:rPr>
                <w:color w:val="0070C0"/>
                <w:sz w:val="18"/>
                <w:szCs w:val="18"/>
              </w:rPr>
            </w:pPr>
            <w:r>
              <w:rPr>
                <w:sz w:val="18"/>
                <w:szCs w:val="18"/>
              </w:rPr>
              <w:t>5 620,8</w:t>
            </w:r>
          </w:p>
        </w:tc>
        <w:tc>
          <w:tcPr>
            <w:tcW w:w="1222" w:type="dxa"/>
            <w:tcBorders>
              <w:top w:val="nil"/>
              <w:left w:val="nil"/>
              <w:bottom w:val="nil"/>
              <w:right w:val="nil"/>
            </w:tcBorders>
            <w:shd w:val="clear" w:color="auto" w:fill="auto"/>
            <w:noWrap/>
            <w:vAlign w:val="bottom"/>
            <w:hideMark/>
          </w:tcPr>
          <w:p w14:paraId="34CF146C" w14:textId="77777777" w:rsidR="0010424C" w:rsidRPr="0055349C" w:rsidRDefault="0010424C" w:rsidP="000B330C">
            <w:pPr>
              <w:jc w:val="right"/>
              <w:rPr>
                <w:color w:val="0070C0"/>
                <w:sz w:val="18"/>
                <w:szCs w:val="18"/>
              </w:rPr>
            </w:pPr>
            <w:r>
              <w:rPr>
                <w:color w:val="000000"/>
                <w:sz w:val="18"/>
                <w:szCs w:val="18"/>
              </w:rPr>
              <w:t>5 623,0</w:t>
            </w:r>
          </w:p>
        </w:tc>
        <w:tc>
          <w:tcPr>
            <w:tcW w:w="1199" w:type="dxa"/>
            <w:tcBorders>
              <w:top w:val="nil"/>
              <w:left w:val="nil"/>
              <w:bottom w:val="nil"/>
              <w:right w:val="nil"/>
            </w:tcBorders>
            <w:shd w:val="clear" w:color="auto" w:fill="auto"/>
            <w:noWrap/>
            <w:vAlign w:val="bottom"/>
            <w:hideMark/>
          </w:tcPr>
          <w:p w14:paraId="074F492E" w14:textId="77777777" w:rsidR="0010424C" w:rsidRPr="0055349C" w:rsidRDefault="0010424C" w:rsidP="000B330C">
            <w:pPr>
              <w:jc w:val="right"/>
              <w:rPr>
                <w:color w:val="0070C0"/>
                <w:sz w:val="18"/>
                <w:szCs w:val="18"/>
              </w:rPr>
            </w:pPr>
            <w:r>
              <w:rPr>
                <w:color w:val="000000"/>
                <w:sz w:val="18"/>
                <w:szCs w:val="18"/>
              </w:rPr>
              <w:t>-2,2</w:t>
            </w:r>
          </w:p>
        </w:tc>
        <w:tc>
          <w:tcPr>
            <w:tcW w:w="1209" w:type="dxa"/>
            <w:tcBorders>
              <w:top w:val="nil"/>
              <w:left w:val="nil"/>
              <w:bottom w:val="nil"/>
              <w:right w:val="single" w:sz="4" w:space="0" w:color="auto"/>
            </w:tcBorders>
            <w:shd w:val="clear" w:color="auto" w:fill="auto"/>
            <w:noWrap/>
            <w:vAlign w:val="bottom"/>
            <w:hideMark/>
          </w:tcPr>
          <w:p w14:paraId="07B72A4E" w14:textId="77777777" w:rsidR="0010424C" w:rsidRPr="0055349C" w:rsidRDefault="0010424C" w:rsidP="000B330C">
            <w:pPr>
              <w:jc w:val="right"/>
              <w:rPr>
                <w:color w:val="0070C0"/>
                <w:sz w:val="18"/>
                <w:szCs w:val="18"/>
                <w:highlight w:val="yellow"/>
              </w:rPr>
            </w:pPr>
            <w:r>
              <w:rPr>
                <w:sz w:val="18"/>
                <w:szCs w:val="18"/>
              </w:rPr>
              <w:t>122,4%</w:t>
            </w:r>
          </w:p>
        </w:tc>
      </w:tr>
      <w:tr w:rsidR="0010424C" w:rsidRPr="0055349C" w14:paraId="6605B63B" w14:textId="77777777" w:rsidTr="000B330C">
        <w:trPr>
          <w:trHeight w:val="250"/>
        </w:trPr>
        <w:tc>
          <w:tcPr>
            <w:tcW w:w="4250" w:type="dxa"/>
            <w:tcBorders>
              <w:top w:val="nil"/>
              <w:left w:val="single" w:sz="8" w:space="0" w:color="auto"/>
              <w:bottom w:val="single" w:sz="4" w:space="0" w:color="auto"/>
              <w:right w:val="single" w:sz="4" w:space="0" w:color="auto"/>
            </w:tcBorders>
            <w:shd w:val="clear" w:color="auto" w:fill="auto"/>
            <w:noWrap/>
            <w:vAlign w:val="bottom"/>
            <w:hideMark/>
          </w:tcPr>
          <w:p w14:paraId="2E194A6E" w14:textId="77777777" w:rsidR="0010424C" w:rsidRPr="00163B57" w:rsidRDefault="0010424C" w:rsidP="000B330C">
            <w:pPr>
              <w:rPr>
                <w:sz w:val="18"/>
                <w:szCs w:val="18"/>
              </w:rPr>
            </w:pPr>
            <w:r w:rsidRPr="00163B57">
              <w:rPr>
                <w:sz w:val="18"/>
                <w:szCs w:val="18"/>
              </w:rPr>
              <w:t xml:space="preserve">  Помощи и дарения</w:t>
            </w:r>
          </w:p>
        </w:tc>
        <w:tc>
          <w:tcPr>
            <w:tcW w:w="1287" w:type="dxa"/>
            <w:tcBorders>
              <w:top w:val="nil"/>
              <w:left w:val="single" w:sz="4" w:space="0" w:color="auto"/>
              <w:bottom w:val="single" w:sz="4" w:space="0" w:color="auto"/>
              <w:right w:val="nil"/>
            </w:tcBorders>
            <w:shd w:val="clear" w:color="auto" w:fill="auto"/>
            <w:noWrap/>
            <w:vAlign w:val="bottom"/>
            <w:hideMark/>
          </w:tcPr>
          <w:p w14:paraId="1B492106" w14:textId="77777777" w:rsidR="0010424C" w:rsidRPr="0055349C" w:rsidRDefault="0010424C" w:rsidP="000B330C">
            <w:pPr>
              <w:jc w:val="right"/>
              <w:rPr>
                <w:color w:val="0070C0"/>
                <w:sz w:val="18"/>
                <w:szCs w:val="18"/>
              </w:rPr>
            </w:pPr>
            <w:r>
              <w:rPr>
                <w:sz w:val="18"/>
                <w:szCs w:val="18"/>
              </w:rPr>
              <w:t>1 417,6</w:t>
            </w:r>
          </w:p>
        </w:tc>
        <w:tc>
          <w:tcPr>
            <w:tcW w:w="1087" w:type="dxa"/>
            <w:tcBorders>
              <w:top w:val="nil"/>
              <w:left w:val="nil"/>
              <w:bottom w:val="nil"/>
              <w:right w:val="nil"/>
            </w:tcBorders>
            <w:shd w:val="clear" w:color="auto" w:fill="auto"/>
            <w:noWrap/>
            <w:vAlign w:val="bottom"/>
            <w:hideMark/>
          </w:tcPr>
          <w:p w14:paraId="5F84AC75" w14:textId="77777777" w:rsidR="0010424C" w:rsidRPr="0055349C" w:rsidRDefault="0010424C" w:rsidP="000B330C">
            <w:pPr>
              <w:jc w:val="right"/>
              <w:rPr>
                <w:color w:val="0070C0"/>
                <w:sz w:val="18"/>
                <w:szCs w:val="18"/>
              </w:rPr>
            </w:pPr>
            <w:r>
              <w:rPr>
                <w:sz w:val="18"/>
                <w:szCs w:val="18"/>
              </w:rPr>
              <w:t>1 202,7</w:t>
            </w:r>
          </w:p>
        </w:tc>
        <w:tc>
          <w:tcPr>
            <w:tcW w:w="1222" w:type="dxa"/>
            <w:tcBorders>
              <w:top w:val="nil"/>
              <w:left w:val="nil"/>
              <w:bottom w:val="nil"/>
              <w:right w:val="nil"/>
            </w:tcBorders>
            <w:shd w:val="clear" w:color="auto" w:fill="auto"/>
            <w:noWrap/>
            <w:vAlign w:val="bottom"/>
            <w:hideMark/>
          </w:tcPr>
          <w:p w14:paraId="7FD8F711" w14:textId="77777777" w:rsidR="0010424C" w:rsidRPr="0055349C" w:rsidRDefault="0010424C" w:rsidP="000B330C">
            <w:pPr>
              <w:jc w:val="right"/>
              <w:rPr>
                <w:color w:val="0070C0"/>
                <w:sz w:val="18"/>
                <w:szCs w:val="18"/>
              </w:rPr>
            </w:pPr>
            <w:r>
              <w:rPr>
                <w:color w:val="000000"/>
                <w:sz w:val="18"/>
                <w:szCs w:val="18"/>
              </w:rPr>
              <w:t>82,6</w:t>
            </w:r>
          </w:p>
        </w:tc>
        <w:tc>
          <w:tcPr>
            <w:tcW w:w="1199" w:type="dxa"/>
            <w:tcBorders>
              <w:top w:val="nil"/>
              <w:left w:val="nil"/>
              <w:bottom w:val="nil"/>
              <w:right w:val="nil"/>
            </w:tcBorders>
            <w:shd w:val="clear" w:color="auto" w:fill="auto"/>
            <w:noWrap/>
            <w:vAlign w:val="bottom"/>
            <w:hideMark/>
          </w:tcPr>
          <w:p w14:paraId="418B3CF7" w14:textId="77777777" w:rsidR="0010424C" w:rsidRPr="0055349C" w:rsidRDefault="0010424C" w:rsidP="000B330C">
            <w:pPr>
              <w:jc w:val="right"/>
              <w:rPr>
                <w:color w:val="0070C0"/>
                <w:sz w:val="18"/>
                <w:szCs w:val="18"/>
              </w:rPr>
            </w:pPr>
            <w:r>
              <w:rPr>
                <w:color w:val="000000"/>
                <w:sz w:val="18"/>
                <w:szCs w:val="18"/>
              </w:rPr>
              <w:t>1 120,2</w:t>
            </w:r>
          </w:p>
        </w:tc>
        <w:tc>
          <w:tcPr>
            <w:tcW w:w="1209" w:type="dxa"/>
            <w:tcBorders>
              <w:top w:val="nil"/>
              <w:left w:val="nil"/>
              <w:bottom w:val="single" w:sz="4" w:space="0" w:color="auto"/>
              <w:right w:val="single" w:sz="4" w:space="0" w:color="auto"/>
            </w:tcBorders>
            <w:shd w:val="clear" w:color="auto" w:fill="auto"/>
            <w:noWrap/>
            <w:vAlign w:val="bottom"/>
            <w:hideMark/>
          </w:tcPr>
          <w:p w14:paraId="15AE97E4" w14:textId="77777777" w:rsidR="0010424C" w:rsidRPr="0055349C" w:rsidRDefault="0010424C" w:rsidP="000B330C">
            <w:pPr>
              <w:jc w:val="right"/>
              <w:rPr>
                <w:color w:val="0070C0"/>
                <w:sz w:val="18"/>
                <w:szCs w:val="18"/>
                <w:highlight w:val="yellow"/>
              </w:rPr>
            </w:pPr>
            <w:r>
              <w:rPr>
                <w:sz w:val="18"/>
                <w:szCs w:val="18"/>
              </w:rPr>
              <w:t>84,8%</w:t>
            </w:r>
          </w:p>
        </w:tc>
      </w:tr>
      <w:tr w:rsidR="0010424C" w:rsidRPr="0055349C" w14:paraId="1C14C0F6" w14:textId="77777777" w:rsidTr="000B330C">
        <w:trPr>
          <w:trHeight w:val="472"/>
        </w:trPr>
        <w:tc>
          <w:tcPr>
            <w:tcW w:w="4250" w:type="dxa"/>
            <w:tcBorders>
              <w:top w:val="single" w:sz="4" w:space="0" w:color="auto"/>
              <w:left w:val="single" w:sz="8" w:space="0" w:color="auto"/>
              <w:bottom w:val="nil"/>
              <w:right w:val="single" w:sz="4" w:space="0" w:color="auto"/>
            </w:tcBorders>
            <w:shd w:val="clear" w:color="auto" w:fill="auto"/>
            <w:vAlign w:val="bottom"/>
            <w:hideMark/>
          </w:tcPr>
          <w:p w14:paraId="042CDC50" w14:textId="77777777" w:rsidR="0010424C" w:rsidRPr="00163B57" w:rsidRDefault="0010424C" w:rsidP="000B330C">
            <w:pPr>
              <w:rPr>
                <w:b/>
                <w:bCs/>
                <w:sz w:val="18"/>
                <w:szCs w:val="18"/>
              </w:rPr>
            </w:pPr>
            <w:r w:rsidRPr="00163B57">
              <w:rPr>
                <w:b/>
                <w:bCs/>
                <w:sz w:val="18"/>
                <w:szCs w:val="18"/>
              </w:rPr>
              <w:t>РАЗХОДИ И ВНОСКА ЗА ОБЩИЯ БЮДЖЕТ НА ЕС</w:t>
            </w:r>
          </w:p>
        </w:tc>
        <w:tc>
          <w:tcPr>
            <w:tcW w:w="1287" w:type="dxa"/>
            <w:tcBorders>
              <w:top w:val="single" w:sz="4" w:space="0" w:color="auto"/>
              <w:left w:val="single" w:sz="4" w:space="0" w:color="auto"/>
              <w:bottom w:val="nil"/>
              <w:right w:val="nil"/>
            </w:tcBorders>
            <w:shd w:val="clear" w:color="auto" w:fill="auto"/>
            <w:noWrap/>
            <w:vAlign w:val="bottom"/>
            <w:hideMark/>
          </w:tcPr>
          <w:p w14:paraId="480CAB99" w14:textId="77777777" w:rsidR="0010424C" w:rsidRPr="00E45D48" w:rsidRDefault="0010424C" w:rsidP="000B330C">
            <w:pPr>
              <w:jc w:val="right"/>
              <w:rPr>
                <w:b/>
                <w:bCs/>
                <w:sz w:val="18"/>
                <w:szCs w:val="18"/>
              </w:rPr>
            </w:pPr>
            <w:r w:rsidRPr="00E45D48">
              <w:rPr>
                <w:b/>
                <w:bCs/>
                <w:sz w:val="18"/>
                <w:szCs w:val="18"/>
              </w:rPr>
              <w:t>27 071,9</w:t>
            </w:r>
          </w:p>
        </w:tc>
        <w:tc>
          <w:tcPr>
            <w:tcW w:w="1087" w:type="dxa"/>
            <w:tcBorders>
              <w:top w:val="single" w:sz="4" w:space="0" w:color="auto"/>
              <w:left w:val="nil"/>
              <w:bottom w:val="nil"/>
              <w:right w:val="nil"/>
            </w:tcBorders>
            <w:shd w:val="clear" w:color="auto" w:fill="auto"/>
            <w:noWrap/>
            <w:vAlign w:val="bottom"/>
            <w:hideMark/>
          </w:tcPr>
          <w:p w14:paraId="291FF1D0" w14:textId="77777777" w:rsidR="0010424C" w:rsidRPr="00E45D48" w:rsidRDefault="0010424C" w:rsidP="000B330C">
            <w:pPr>
              <w:jc w:val="right"/>
              <w:rPr>
                <w:b/>
                <w:bCs/>
                <w:sz w:val="18"/>
                <w:szCs w:val="18"/>
              </w:rPr>
            </w:pPr>
            <w:r w:rsidRPr="00E45D48">
              <w:rPr>
                <w:b/>
                <w:bCs/>
                <w:sz w:val="18"/>
                <w:szCs w:val="18"/>
              </w:rPr>
              <w:t>31 226,3</w:t>
            </w:r>
          </w:p>
        </w:tc>
        <w:tc>
          <w:tcPr>
            <w:tcW w:w="1222" w:type="dxa"/>
            <w:tcBorders>
              <w:top w:val="single" w:sz="4" w:space="0" w:color="auto"/>
              <w:left w:val="nil"/>
              <w:bottom w:val="nil"/>
              <w:right w:val="nil"/>
            </w:tcBorders>
            <w:shd w:val="clear" w:color="auto" w:fill="auto"/>
            <w:noWrap/>
            <w:vAlign w:val="bottom"/>
            <w:hideMark/>
          </w:tcPr>
          <w:p w14:paraId="498C7B40" w14:textId="77777777" w:rsidR="0010424C" w:rsidRPr="0055349C" w:rsidRDefault="0010424C" w:rsidP="000B330C">
            <w:pPr>
              <w:jc w:val="right"/>
              <w:rPr>
                <w:b/>
                <w:bCs/>
                <w:color w:val="0070C0"/>
                <w:sz w:val="18"/>
                <w:szCs w:val="18"/>
              </w:rPr>
            </w:pPr>
            <w:r>
              <w:rPr>
                <w:b/>
                <w:bCs/>
                <w:color w:val="000000"/>
                <w:sz w:val="18"/>
                <w:szCs w:val="18"/>
              </w:rPr>
              <w:t>29 783,8</w:t>
            </w:r>
          </w:p>
        </w:tc>
        <w:tc>
          <w:tcPr>
            <w:tcW w:w="1199" w:type="dxa"/>
            <w:tcBorders>
              <w:top w:val="single" w:sz="4" w:space="0" w:color="auto"/>
              <w:left w:val="nil"/>
              <w:bottom w:val="nil"/>
              <w:right w:val="nil"/>
            </w:tcBorders>
            <w:shd w:val="clear" w:color="auto" w:fill="auto"/>
            <w:noWrap/>
            <w:vAlign w:val="bottom"/>
            <w:hideMark/>
          </w:tcPr>
          <w:p w14:paraId="2D61130E" w14:textId="77777777" w:rsidR="0010424C" w:rsidRPr="0055349C" w:rsidRDefault="0010424C" w:rsidP="000B330C">
            <w:pPr>
              <w:jc w:val="right"/>
              <w:rPr>
                <w:b/>
                <w:bCs/>
                <w:color w:val="0070C0"/>
                <w:sz w:val="18"/>
                <w:szCs w:val="18"/>
              </w:rPr>
            </w:pPr>
            <w:r>
              <w:rPr>
                <w:b/>
                <w:bCs/>
                <w:color w:val="000000"/>
                <w:sz w:val="18"/>
                <w:szCs w:val="18"/>
              </w:rPr>
              <w:t>1 442,5</w:t>
            </w:r>
          </w:p>
        </w:tc>
        <w:tc>
          <w:tcPr>
            <w:tcW w:w="1209" w:type="dxa"/>
            <w:tcBorders>
              <w:top w:val="single" w:sz="4" w:space="0" w:color="auto"/>
              <w:left w:val="nil"/>
              <w:bottom w:val="nil"/>
              <w:right w:val="single" w:sz="8" w:space="0" w:color="auto"/>
            </w:tcBorders>
            <w:shd w:val="clear" w:color="auto" w:fill="auto"/>
            <w:noWrap/>
            <w:vAlign w:val="bottom"/>
            <w:hideMark/>
          </w:tcPr>
          <w:p w14:paraId="0024BA89" w14:textId="77777777" w:rsidR="0010424C" w:rsidRPr="0055349C" w:rsidRDefault="0010424C" w:rsidP="000B330C">
            <w:pPr>
              <w:jc w:val="right"/>
              <w:rPr>
                <w:b/>
                <w:bCs/>
                <w:color w:val="0070C0"/>
                <w:sz w:val="18"/>
                <w:szCs w:val="18"/>
                <w:highlight w:val="yellow"/>
              </w:rPr>
            </w:pPr>
            <w:r>
              <w:rPr>
                <w:b/>
                <w:bCs/>
                <w:sz w:val="18"/>
                <w:szCs w:val="18"/>
              </w:rPr>
              <w:t>115,3%</w:t>
            </w:r>
          </w:p>
        </w:tc>
      </w:tr>
      <w:tr w:rsidR="0010424C" w:rsidRPr="0055349C" w14:paraId="0022DB3A" w14:textId="77777777" w:rsidTr="000B330C">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633B50C5" w14:textId="77777777" w:rsidR="0010424C" w:rsidRPr="00163B57" w:rsidRDefault="0010424C" w:rsidP="000B330C">
            <w:pPr>
              <w:rPr>
                <w:sz w:val="18"/>
                <w:szCs w:val="18"/>
              </w:rPr>
            </w:pPr>
            <w:r w:rsidRPr="00163B57">
              <w:rPr>
                <w:sz w:val="18"/>
                <w:szCs w:val="18"/>
              </w:rPr>
              <w:t xml:space="preserve">  Нелихвени</w:t>
            </w:r>
          </w:p>
        </w:tc>
        <w:tc>
          <w:tcPr>
            <w:tcW w:w="1287" w:type="dxa"/>
            <w:tcBorders>
              <w:top w:val="nil"/>
              <w:left w:val="single" w:sz="4" w:space="0" w:color="auto"/>
              <w:bottom w:val="nil"/>
              <w:right w:val="nil"/>
            </w:tcBorders>
            <w:shd w:val="clear" w:color="auto" w:fill="auto"/>
            <w:noWrap/>
            <w:vAlign w:val="bottom"/>
            <w:hideMark/>
          </w:tcPr>
          <w:p w14:paraId="75966EA7" w14:textId="77777777" w:rsidR="0010424C" w:rsidRPr="0055349C" w:rsidRDefault="0010424C" w:rsidP="000B330C">
            <w:pPr>
              <w:jc w:val="right"/>
              <w:rPr>
                <w:color w:val="0070C0"/>
                <w:sz w:val="18"/>
                <w:szCs w:val="18"/>
              </w:rPr>
            </w:pPr>
            <w:r w:rsidRPr="002A75E1">
              <w:rPr>
                <w:sz w:val="18"/>
                <w:szCs w:val="18"/>
              </w:rPr>
              <w:t>25 870,4</w:t>
            </w:r>
          </w:p>
        </w:tc>
        <w:tc>
          <w:tcPr>
            <w:tcW w:w="1087" w:type="dxa"/>
            <w:tcBorders>
              <w:top w:val="nil"/>
              <w:left w:val="nil"/>
              <w:bottom w:val="nil"/>
              <w:right w:val="nil"/>
            </w:tcBorders>
            <w:shd w:val="clear" w:color="auto" w:fill="auto"/>
            <w:noWrap/>
            <w:vAlign w:val="bottom"/>
            <w:hideMark/>
          </w:tcPr>
          <w:p w14:paraId="271FFBC0" w14:textId="77777777" w:rsidR="0010424C" w:rsidRPr="0055349C" w:rsidRDefault="0010424C" w:rsidP="000B330C">
            <w:pPr>
              <w:jc w:val="right"/>
              <w:rPr>
                <w:color w:val="0070C0"/>
                <w:sz w:val="18"/>
                <w:szCs w:val="18"/>
              </w:rPr>
            </w:pPr>
            <w:r>
              <w:rPr>
                <w:sz w:val="18"/>
                <w:szCs w:val="18"/>
              </w:rPr>
              <w:t>30 029,0</w:t>
            </w:r>
          </w:p>
        </w:tc>
        <w:tc>
          <w:tcPr>
            <w:tcW w:w="1222" w:type="dxa"/>
            <w:tcBorders>
              <w:top w:val="nil"/>
              <w:left w:val="nil"/>
              <w:bottom w:val="nil"/>
              <w:right w:val="nil"/>
            </w:tcBorders>
            <w:shd w:val="clear" w:color="auto" w:fill="auto"/>
            <w:noWrap/>
            <w:vAlign w:val="bottom"/>
            <w:hideMark/>
          </w:tcPr>
          <w:p w14:paraId="1109AAA0" w14:textId="77777777" w:rsidR="0010424C" w:rsidRPr="0055349C" w:rsidRDefault="0010424C" w:rsidP="000B330C">
            <w:pPr>
              <w:jc w:val="right"/>
              <w:rPr>
                <w:color w:val="0070C0"/>
                <w:sz w:val="18"/>
                <w:szCs w:val="18"/>
              </w:rPr>
            </w:pPr>
            <w:r>
              <w:rPr>
                <w:sz w:val="18"/>
                <w:szCs w:val="18"/>
              </w:rPr>
              <w:t>28 586,5</w:t>
            </w:r>
          </w:p>
        </w:tc>
        <w:tc>
          <w:tcPr>
            <w:tcW w:w="1199" w:type="dxa"/>
            <w:tcBorders>
              <w:top w:val="nil"/>
              <w:left w:val="nil"/>
              <w:bottom w:val="nil"/>
              <w:right w:val="nil"/>
            </w:tcBorders>
            <w:shd w:val="clear" w:color="auto" w:fill="auto"/>
            <w:noWrap/>
            <w:vAlign w:val="bottom"/>
            <w:hideMark/>
          </w:tcPr>
          <w:p w14:paraId="3AE3869B" w14:textId="77777777" w:rsidR="0010424C" w:rsidRPr="0055349C" w:rsidRDefault="0010424C" w:rsidP="000B330C">
            <w:pPr>
              <w:jc w:val="right"/>
              <w:rPr>
                <w:color w:val="0070C0"/>
                <w:sz w:val="18"/>
                <w:szCs w:val="18"/>
              </w:rPr>
            </w:pPr>
            <w:r>
              <w:rPr>
                <w:sz w:val="18"/>
                <w:szCs w:val="18"/>
              </w:rPr>
              <w:t>1 442,5</w:t>
            </w:r>
          </w:p>
        </w:tc>
        <w:tc>
          <w:tcPr>
            <w:tcW w:w="1209" w:type="dxa"/>
            <w:tcBorders>
              <w:top w:val="nil"/>
              <w:left w:val="nil"/>
              <w:bottom w:val="nil"/>
              <w:right w:val="single" w:sz="8" w:space="0" w:color="auto"/>
            </w:tcBorders>
            <w:shd w:val="clear" w:color="auto" w:fill="auto"/>
            <w:noWrap/>
            <w:vAlign w:val="bottom"/>
            <w:hideMark/>
          </w:tcPr>
          <w:p w14:paraId="45AFB0EA" w14:textId="77777777" w:rsidR="0010424C" w:rsidRPr="0055349C" w:rsidRDefault="0010424C" w:rsidP="000B330C">
            <w:pPr>
              <w:jc w:val="right"/>
              <w:rPr>
                <w:color w:val="0070C0"/>
                <w:sz w:val="18"/>
                <w:szCs w:val="18"/>
                <w:highlight w:val="yellow"/>
              </w:rPr>
            </w:pPr>
            <w:r>
              <w:rPr>
                <w:sz w:val="18"/>
                <w:szCs w:val="18"/>
              </w:rPr>
              <w:t>116,1%</w:t>
            </w:r>
          </w:p>
        </w:tc>
      </w:tr>
      <w:tr w:rsidR="0010424C" w:rsidRPr="0055349C" w14:paraId="3BC4FFAB" w14:textId="77777777" w:rsidTr="000B330C">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5440E7DB" w14:textId="77777777" w:rsidR="0010424C" w:rsidRPr="00163B57" w:rsidRDefault="0010424C" w:rsidP="000B330C">
            <w:pPr>
              <w:rPr>
                <w:sz w:val="18"/>
                <w:szCs w:val="18"/>
              </w:rPr>
            </w:pPr>
            <w:r w:rsidRPr="00163B57">
              <w:rPr>
                <w:sz w:val="18"/>
                <w:szCs w:val="18"/>
              </w:rPr>
              <w:t xml:space="preserve">    Текущи</w:t>
            </w:r>
          </w:p>
        </w:tc>
        <w:tc>
          <w:tcPr>
            <w:tcW w:w="1287" w:type="dxa"/>
            <w:tcBorders>
              <w:top w:val="nil"/>
              <w:left w:val="single" w:sz="4" w:space="0" w:color="auto"/>
              <w:bottom w:val="nil"/>
              <w:right w:val="nil"/>
            </w:tcBorders>
            <w:shd w:val="clear" w:color="auto" w:fill="auto"/>
            <w:noWrap/>
            <w:vAlign w:val="bottom"/>
            <w:hideMark/>
          </w:tcPr>
          <w:p w14:paraId="590BA7B5" w14:textId="77777777" w:rsidR="0010424C" w:rsidRPr="0055349C" w:rsidRDefault="0010424C" w:rsidP="000B330C">
            <w:pPr>
              <w:jc w:val="right"/>
              <w:rPr>
                <w:color w:val="0070C0"/>
                <w:sz w:val="18"/>
                <w:szCs w:val="18"/>
              </w:rPr>
            </w:pPr>
            <w:r w:rsidRPr="00E45D48">
              <w:rPr>
                <w:sz w:val="18"/>
                <w:szCs w:val="18"/>
              </w:rPr>
              <w:t>24 355,7</w:t>
            </w:r>
          </w:p>
        </w:tc>
        <w:tc>
          <w:tcPr>
            <w:tcW w:w="1087" w:type="dxa"/>
            <w:tcBorders>
              <w:top w:val="nil"/>
              <w:left w:val="nil"/>
              <w:bottom w:val="nil"/>
              <w:right w:val="nil"/>
            </w:tcBorders>
            <w:shd w:val="clear" w:color="auto" w:fill="auto"/>
            <w:noWrap/>
            <w:vAlign w:val="bottom"/>
            <w:hideMark/>
          </w:tcPr>
          <w:p w14:paraId="2F2DA93D" w14:textId="77777777" w:rsidR="0010424C" w:rsidRPr="0055349C" w:rsidRDefault="0010424C" w:rsidP="000B330C">
            <w:pPr>
              <w:jc w:val="right"/>
              <w:rPr>
                <w:color w:val="0070C0"/>
                <w:sz w:val="18"/>
                <w:szCs w:val="18"/>
              </w:rPr>
            </w:pPr>
            <w:r>
              <w:rPr>
                <w:sz w:val="18"/>
                <w:szCs w:val="18"/>
              </w:rPr>
              <w:t>27 820,5</w:t>
            </w:r>
          </w:p>
        </w:tc>
        <w:tc>
          <w:tcPr>
            <w:tcW w:w="1222" w:type="dxa"/>
            <w:tcBorders>
              <w:top w:val="nil"/>
              <w:left w:val="nil"/>
              <w:bottom w:val="nil"/>
              <w:right w:val="nil"/>
            </w:tcBorders>
            <w:shd w:val="clear" w:color="auto" w:fill="auto"/>
            <w:noWrap/>
            <w:vAlign w:val="bottom"/>
            <w:hideMark/>
          </w:tcPr>
          <w:p w14:paraId="05C264E0" w14:textId="77777777" w:rsidR="0010424C" w:rsidRPr="0055349C" w:rsidRDefault="0010424C" w:rsidP="000B330C">
            <w:pPr>
              <w:jc w:val="right"/>
              <w:rPr>
                <w:color w:val="0070C0"/>
                <w:sz w:val="18"/>
                <w:szCs w:val="18"/>
              </w:rPr>
            </w:pPr>
            <w:r>
              <w:rPr>
                <w:color w:val="000000"/>
                <w:sz w:val="18"/>
                <w:szCs w:val="18"/>
              </w:rPr>
              <w:t>27 313,0</w:t>
            </w:r>
          </w:p>
        </w:tc>
        <w:tc>
          <w:tcPr>
            <w:tcW w:w="1199" w:type="dxa"/>
            <w:tcBorders>
              <w:top w:val="nil"/>
              <w:left w:val="nil"/>
              <w:bottom w:val="nil"/>
              <w:right w:val="nil"/>
            </w:tcBorders>
            <w:shd w:val="clear" w:color="auto" w:fill="auto"/>
            <w:noWrap/>
            <w:vAlign w:val="bottom"/>
            <w:hideMark/>
          </w:tcPr>
          <w:p w14:paraId="0DA4A571" w14:textId="77777777" w:rsidR="0010424C" w:rsidRPr="0055349C" w:rsidRDefault="0010424C" w:rsidP="000B330C">
            <w:pPr>
              <w:jc w:val="right"/>
              <w:rPr>
                <w:color w:val="0070C0"/>
                <w:sz w:val="18"/>
                <w:szCs w:val="18"/>
              </w:rPr>
            </w:pPr>
            <w:r>
              <w:rPr>
                <w:color w:val="000000"/>
                <w:sz w:val="18"/>
                <w:szCs w:val="18"/>
              </w:rPr>
              <w:t>507,4</w:t>
            </w:r>
          </w:p>
        </w:tc>
        <w:tc>
          <w:tcPr>
            <w:tcW w:w="1209" w:type="dxa"/>
            <w:tcBorders>
              <w:top w:val="nil"/>
              <w:left w:val="nil"/>
              <w:right w:val="single" w:sz="8" w:space="0" w:color="auto"/>
            </w:tcBorders>
            <w:shd w:val="clear" w:color="auto" w:fill="auto"/>
            <w:noWrap/>
            <w:vAlign w:val="bottom"/>
            <w:hideMark/>
          </w:tcPr>
          <w:p w14:paraId="006B9F25" w14:textId="77777777" w:rsidR="0010424C" w:rsidRPr="0055349C" w:rsidRDefault="0010424C" w:rsidP="000B330C">
            <w:pPr>
              <w:jc w:val="right"/>
              <w:rPr>
                <w:color w:val="0070C0"/>
                <w:sz w:val="18"/>
                <w:szCs w:val="18"/>
                <w:highlight w:val="yellow"/>
              </w:rPr>
            </w:pPr>
            <w:r>
              <w:rPr>
                <w:sz w:val="18"/>
                <w:szCs w:val="18"/>
              </w:rPr>
              <w:t>114,2%</w:t>
            </w:r>
          </w:p>
        </w:tc>
      </w:tr>
      <w:tr w:rsidR="0010424C" w:rsidRPr="0055349C" w14:paraId="1E7893AE" w14:textId="77777777" w:rsidTr="000B330C">
        <w:trPr>
          <w:trHeight w:val="250"/>
        </w:trPr>
        <w:tc>
          <w:tcPr>
            <w:tcW w:w="4250" w:type="dxa"/>
            <w:tcBorders>
              <w:top w:val="nil"/>
              <w:left w:val="single" w:sz="8" w:space="0" w:color="auto"/>
              <w:bottom w:val="nil"/>
              <w:right w:val="single" w:sz="4" w:space="0" w:color="auto"/>
            </w:tcBorders>
            <w:shd w:val="clear" w:color="auto" w:fill="auto"/>
            <w:noWrap/>
            <w:vAlign w:val="bottom"/>
          </w:tcPr>
          <w:p w14:paraId="0F9129ED" w14:textId="77777777" w:rsidR="0010424C" w:rsidRPr="00163B57" w:rsidRDefault="0010424C" w:rsidP="000B330C">
            <w:pPr>
              <w:rPr>
                <w:sz w:val="18"/>
                <w:szCs w:val="18"/>
              </w:rPr>
            </w:pPr>
            <w:r w:rsidRPr="00163B57">
              <w:rPr>
                <w:sz w:val="18"/>
                <w:szCs w:val="18"/>
              </w:rPr>
              <w:t xml:space="preserve">    Предоставени тек. и капит. трансфери за чужбина</w:t>
            </w:r>
          </w:p>
        </w:tc>
        <w:tc>
          <w:tcPr>
            <w:tcW w:w="1287" w:type="dxa"/>
            <w:tcBorders>
              <w:top w:val="nil"/>
              <w:left w:val="single" w:sz="4" w:space="0" w:color="auto"/>
              <w:bottom w:val="nil"/>
              <w:right w:val="nil"/>
            </w:tcBorders>
            <w:shd w:val="clear" w:color="auto" w:fill="auto"/>
            <w:noWrap/>
            <w:vAlign w:val="bottom"/>
          </w:tcPr>
          <w:p w14:paraId="4F023021" w14:textId="77777777" w:rsidR="0010424C" w:rsidRPr="00E45D48" w:rsidRDefault="0010424C" w:rsidP="000B330C">
            <w:pPr>
              <w:jc w:val="right"/>
              <w:rPr>
                <w:sz w:val="18"/>
                <w:szCs w:val="18"/>
              </w:rPr>
            </w:pPr>
            <w:r w:rsidRPr="00E45D48">
              <w:rPr>
                <w:sz w:val="18"/>
                <w:szCs w:val="18"/>
              </w:rPr>
              <w:t>13,1</w:t>
            </w:r>
          </w:p>
        </w:tc>
        <w:tc>
          <w:tcPr>
            <w:tcW w:w="1087" w:type="dxa"/>
            <w:tcBorders>
              <w:top w:val="nil"/>
              <w:left w:val="nil"/>
              <w:bottom w:val="nil"/>
              <w:right w:val="nil"/>
            </w:tcBorders>
            <w:shd w:val="clear" w:color="auto" w:fill="auto"/>
            <w:noWrap/>
            <w:vAlign w:val="bottom"/>
          </w:tcPr>
          <w:p w14:paraId="21FD4353" w14:textId="77777777" w:rsidR="0010424C" w:rsidRPr="0055349C" w:rsidRDefault="0010424C" w:rsidP="000B330C">
            <w:pPr>
              <w:jc w:val="right"/>
              <w:rPr>
                <w:color w:val="0070C0"/>
                <w:sz w:val="18"/>
                <w:szCs w:val="18"/>
              </w:rPr>
            </w:pPr>
            <w:r>
              <w:rPr>
                <w:sz w:val="18"/>
                <w:szCs w:val="18"/>
              </w:rPr>
              <w:t>33,5</w:t>
            </w:r>
          </w:p>
        </w:tc>
        <w:tc>
          <w:tcPr>
            <w:tcW w:w="1222" w:type="dxa"/>
            <w:tcBorders>
              <w:top w:val="nil"/>
              <w:left w:val="nil"/>
              <w:bottom w:val="nil"/>
              <w:right w:val="nil"/>
            </w:tcBorders>
            <w:shd w:val="clear" w:color="auto" w:fill="auto"/>
            <w:noWrap/>
            <w:vAlign w:val="bottom"/>
          </w:tcPr>
          <w:p w14:paraId="0C0C78C2" w14:textId="77777777" w:rsidR="0010424C" w:rsidRPr="0055349C" w:rsidRDefault="0010424C" w:rsidP="000B330C">
            <w:pPr>
              <w:jc w:val="right"/>
              <w:rPr>
                <w:color w:val="0070C0"/>
                <w:sz w:val="18"/>
                <w:szCs w:val="18"/>
              </w:rPr>
            </w:pPr>
            <w:r>
              <w:rPr>
                <w:color w:val="000000"/>
                <w:sz w:val="18"/>
                <w:szCs w:val="18"/>
              </w:rPr>
              <w:t>2,0</w:t>
            </w:r>
          </w:p>
        </w:tc>
        <w:tc>
          <w:tcPr>
            <w:tcW w:w="1199" w:type="dxa"/>
            <w:tcBorders>
              <w:top w:val="nil"/>
              <w:left w:val="nil"/>
              <w:bottom w:val="nil"/>
              <w:right w:val="nil"/>
            </w:tcBorders>
            <w:shd w:val="clear" w:color="auto" w:fill="auto"/>
            <w:noWrap/>
            <w:vAlign w:val="bottom"/>
          </w:tcPr>
          <w:p w14:paraId="55816764" w14:textId="77777777" w:rsidR="0010424C" w:rsidRPr="0055349C" w:rsidRDefault="0010424C" w:rsidP="000B330C">
            <w:pPr>
              <w:jc w:val="right"/>
              <w:rPr>
                <w:color w:val="0070C0"/>
                <w:sz w:val="18"/>
                <w:szCs w:val="18"/>
              </w:rPr>
            </w:pPr>
            <w:r>
              <w:rPr>
                <w:color w:val="000000"/>
                <w:sz w:val="18"/>
                <w:szCs w:val="18"/>
              </w:rPr>
              <w:t>31,4</w:t>
            </w:r>
          </w:p>
        </w:tc>
        <w:tc>
          <w:tcPr>
            <w:tcW w:w="1209" w:type="dxa"/>
            <w:tcBorders>
              <w:top w:val="nil"/>
              <w:left w:val="nil"/>
              <w:right w:val="single" w:sz="4" w:space="0" w:color="auto"/>
            </w:tcBorders>
            <w:shd w:val="clear" w:color="auto" w:fill="auto"/>
            <w:noWrap/>
            <w:vAlign w:val="bottom"/>
          </w:tcPr>
          <w:p w14:paraId="60685B04" w14:textId="77777777" w:rsidR="0010424C" w:rsidRPr="0055349C" w:rsidRDefault="0010424C" w:rsidP="000B330C">
            <w:pPr>
              <w:jc w:val="right"/>
              <w:rPr>
                <w:color w:val="0070C0"/>
                <w:sz w:val="18"/>
                <w:szCs w:val="18"/>
                <w:highlight w:val="yellow"/>
              </w:rPr>
            </w:pPr>
            <w:r>
              <w:rPr>
                <w:sz w:val="18"/>
                <w:szCs w:val="18"/>
              </w:rPr>
              <w:t>256,2%</w:t>
            </w:r>
          </w:p>
        </w:tc>
      </w:tr>
      <w:tr w:rsidR="0010424C" w:rsidRPr="0055349C" w14:paraId="2706027B" w14:textId="77777777" w:rsidTr="000B330C">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12C62AEB" w14:textId="77777777" w:rsidR="0010424C" w:rsidRPr="00163B57" w:rsidRDefault="0010424C" w:rsidP="000B330C">
            <w:pPr>
              <w:rPr>
                <w:sz w:val="18"/>
                <w:szCs w:val="18"/>
              </w:rPr>
            </w:pPr>
            <w:r w:rsidRPr="00163B57">
              <w:rPr>
                <w:sz w:val="18"/>
                <w:szCs w:val="18"/>
              </w:rPr>
              <w:t xml:space="preserve">    Капиталови</w:t>
            </w:r>
          </w:p>
        </w:tc>
        <w:tc>
          <w:tcPr>
            <w:tcW w:w="1287" w:type="dxa"/>
            <w:tcBorders>
              <w:top w:val="nil"/>
              <w:left w:val="single" w:sz="4" w:space="0" w:color="auto"/>
              <w:bottom w:val="nil"/>
              <w:right w:val="nil"/>
            </w:tcBorders>
            <w:shd w:val="clear" w:color="auto" w:fill="auto"/>
            <w:noWrap/>
            <w:vAlign w:val="bottom"/>
            <w:hideMark/>
          </w:tcPr>
          <w:p w14:paraId="57692F65" w14:textId="77777777" w:rsidR="0010424C" w:rsidRPr="000A4B5A" w:rsidRDefault="0010424C" w:rsidP="000B330C">
            <w:pPr>
              <w:jc w:val="right"/>
              <w:rPr>
                <w:sz w:val="18"/>
                <w:szCs w:val="18"/>
              </w:rPr>
            </w:pPr>
            <w:r w:rsidRPr="000A4B5A">
              <w:rPr>
                <w:sz w:val="18"/>
                <w:szCs w:val="18"/>
              </w:rPr>
              <w:t>1 501,7</w:t>
            </w:r>
          </w:p>
        </w:tc>
        <w:tc>
          <w:tcPr>
            <w:tcW w:w="1087" w:type="dxa"/>
            <w:tcBorders>
              <w:top w:val="nil"/>
              <w:left w:val="nil"/>
              <w:bottom w:val="nil"/>
              <w:right w:val="nil"/>
            </w:tcBorders>
            <w:shd w:val="clear" w:color="auto" w:fill="auto"/>
            <w:noWrap/>
            <w:vAlign w:val="bottom"/>
            <w:hideMark/>
          </w:tcPr>
          <w:p w14:paraId="794C0E1B" w14:textId="77777777" w:rsidR="0010424C" w:rsidRPr="0055349C" w:rsidRDefault="0010424C" w:rsidP="000B330C">
            <w:pPr>
              <w:jc w:val="right"/>
              <w:rPr>
                <w:color w:val="0070C0"/>
                <w:sz w:val="18"/>
                <w:szCs w:val="18"/>
              </w:rPr>
            </w:pPr>
            <w:r>
              <w:rPr>
                <w:sz w:val="18"/>
                <w:szCs w:val="18"/>
              </w:rPr>
              <w:t>2 175,1</w:t>
            </w:r>
          </w:p>
        </w:tc>
        <w:tc>
          <w:tcPr>
            <w:tcW w:w="1222" w:type="dxa"/>
            <w:tcBorders>
              <w:top w:val="nil"/>
              <w:left w:val="nil"/>
              <w:bottom w:val="nil"/>
              <w:right w:val="nil"/>
            </w:tcBorders>
            <w:shd w:val="clear" w:color="auto" w:fill="auto"/>
            <w:noWrap/>
            <w:vAlign w:val="bottom"/>
            <w:hideMark/>
          </w:tcPr>
          <w:p w14:paraId="75C60888" w14:textId="77777777" w:rsidR="0010424C" w:rsidRPr="0055349C" w:rsidRDefault="0010424C" w:rsidP="000B330C">
            <w:pPr>
              <w:jc w:val="right"/>
              <w:rPr>
                <w:color w:val="0070C0"/>
                <w:sz w:val="18"/>
                <w:szCs w:val="18"/>
              </w:rPr>
            </w:pPr>
            <w:r>
              <w:rPr>
                <w:color w:val="000000"/>
                <w:sz w:val="18"/>
                <w:szCs w:val="18"/>
              </w:rPr>
              <w:t>1 271,5</w:t>
            </w:r>
          </w:p>
        </w:tc>
        <w:tc>
          <w:tcPr>
            <w:tcW w:w="1199" w:type="dxa"/>
            <w:tcBorders>
              <w:top w:val="nil"/>
              <w:left w:val="nil"/>
              <w:bottom w:val="nil"/>
              <w:right w:val="nil"/>
            </w:tcBorders>
            <w:shd w:val="clear" w:color="auto" w:fill="auto"/>
            <w:noWrap/>
            <w:vAlign w:val="bottom"/>
            <w:hideMark/>
          </w:tcPr>
          <w:p w14:paraId="49424ACF" w14:textId="77777777" w:rsidR="0010424C" w:rsidRPr="0055349C" w:rsidRDefault="0010424C" w:rsidP="000B330C">
            <w:pPr>
              <w:jc w:val="right"/>
              <w:rPr>
                <w:color w:val="0070C0"/>
                <w:sz w:val="18"/>
                <w:szCs w:val="18"/>
              </w:rPr>
            </w:pPr>
            <w:r>
              <w:rPr>
                <w:color w:val="000000"/>
                <w:sz w:val="18"/>
                <w:szCs w:val="18"/>
              </w:rPr>
              <w:t>903,6</w:t>
            </w:r>
          </w:p>
        </w:tc>
        <w:tc>
          <w:tcPr>
            <w:tcW w:w="1209" w:type="dxa"/>
            <w:tcBorders>
              <w:top w:val="nil"/>
              <w:left w:val="nil"/>
              <w:bottom w:val="nil"/>
              <w:right w:val="single" w:sz="4" w:space="0" w:color="auto"/>
            </w:tcBorders>
            <w:shd w:val="clear" w:color="auto" w:fill="auto"/>
            <w:noWrap/>
            <w:vAlign w:val="bottom"/>
            <w:hideMark/>
          </w:tcPr>
          <w:p w14:paraId="0F3CB55A" w14:textId="77777777" w:rsidR="0010424C" w:rsidRPr="0055349C" w:rsidRDefault="0010424C" w:rsidP="000B330C">
            <w:pPr>
              <w:jc w:val="right"/>
              <w:rPr>
                <w:color w:val="0070C0"/>
                <w:sz w:val="18"/>
                <w:szCs w:val="18"/>
                <w:highlight w:val="yellow"/>
              </w:rPr>
            </w:pPr>
            <w:r>
              <w:rPr>
                <w:sz w:val="18"/>
                <w:szCs w:val="18"/>
              </w:rPr>
              <w:t>144,8%</w:t>
            </w:r>
          </w:p>
        </w:tc>
      </w:tr>
      <w:tr w:rsidR="0010424C" w:rsidRPr="0055349C" w14:paraId="3FFE9341" w14:textId="77777777" w:rsidTr="000B330C">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2C99F8C9" w14:textId="77777777" w:rsidR="0010424C" w:rsidRPr="00163B57" w:rsidRDefault="0010424C" w:rsidP="000B330C">
            <w:pPr>
              <w:rPr>
                <w:sz w:val="18"/>
                <w:szCs w:val="18"/>
              </w:rPr>
            </w:pPr>
            <w:r w:rsidRPr="00163B57">
              <w:rPr>
                <w:sz w:val="18"/>
                <w:szCs w:val="18"/>
              </w:rPr>
              <w:t xml:space="preserve">           в т.ч. нетен прираст на държавния резерв</w:t>
            </w:r>
          </w:p>
        </w:tc>
        <w:tc>
          <w:tcPr>
            <w:tcW w:w="1287" w:type="dxa"/>
            <w:tcBorders>
              <w:top w:val="nil"/>
              <w:left w:val="single" w:sz="4" w:space="0" w:color="auto"/>
              <w:bottom w:val="nil"/>
              <w:right w:val="nil"/>
            </w:tcBorders>
            <w:shd w:val="clear" w:color="auto" w:fill="auto"/>
            <w:noWrap/>
            <w:vAlign w:val="bottom"/>
            <w:hideMark/>
          </w:tcPr>
          <w:p w14:paraId="29E9F12A" w14:textId="77777777" w:rsidR="0010424C" w:rsidRPr="00E45D48" w:rsidRDefault="0010424C" w:rsidP="000B330C">
            <w:pPr>
              <w:jc w:val="right"/>
              <w:rPr>
                <w:sz w:val="18"/>
                <w:szCs w:val="18"/>
              </w:rPr>
            </w:pPr>
            <w:r w:rsidRPr="00E45D48">
              <w:rPr>
                <w:sz w:val="18"/>
                <w:szCs w:val="18"/>
              </w:rPr>
              <w:t>-1,7</w:t>
            </w:r>
          </w:p>
        </w:tc>
        <w:tc>
          <w:tcPr>
            <w:tcW w:w="1087" w:type="dxa"/>
            <w:tcBorders>
              <w:top w:val="nil"/>
              <w:left w:val="nil"/>
              <w:bottom w:val="nil"/>
              <w:right w:val="nil"/>
            </w:tcBorders>
            <w:shd w:val="clear" w:color="auto" w:fill="auto"/>
            <w:noWrap/>
            <w:vAlign w:val="bottom"/>
            <w:hideMark/>
          </w:tcPr>
          <w:p w14:paraId="0ED5B04D" w14:textId="77777777" w:rsidR="0010424C" w:rsidRPr="0055349C" w:rsidRDefault="0010424C" w:rsidP="000B330C">
            <w:pPr>
              <w:jc w:val="right"/>
              <w:rPr>
                <w:color w:val="0070C0"/>
                <w:sz w:val="18"/>
                <w:szCs w:val="18"/>
              </w:rPr>
            </w:pPr>
            <w:r>
              <w:rPr>
                <w:sz w:val="18"/>
                <w:szCs w:val="18"/>
              </w:rPr>
              <w:t>61,9</w:t>
            </w:r>
          </w:p>
        </w:tc>
        <w:tc>
          <w:tcPr>
            <w:tcW w:w="1222" w:type="dxa"/>
            <w:tcBorders>
              <w:top w:val="nil"/>
              <w:left w:val="nil"/>
              <w:bottom w:val="nil"/>
              <w:right w:val="nil"/>
            </w:tcBorders>
            <w:shd w:val="clear" w:color="auto" w:fill="auto"/>
            <w:noWrap/>
            <w:vAlign w:val="bottom"/>
            <w:hideMark/>
          </w:tcPr>
          <w:p w14:paraId="36D93DDC" w14:textId="77777777" w:rsidR="0010424C" w:rsidRPr="0055349C" w:rsidRDefault="0010424C" w:rsidP="000B330C">
            <w:pPr>
              <w:jc w:val="right"/>
              <w:rPr>
                <w:color w:val="0070C0"/>
                <w:sz w:val="18"/>
                <w:szCs w:val="18"/>
              </w:rPr>
            </w:pPr>
            <w:r>
              <w:rPr>
                <w:color w:val="000000"/>
                <w:sz w:val="18"/>
                <w:szCs w:val="18"/>
              </w:rPr>
              <w:t>61,9</w:t>
            </w:r>
          </w:p>
        </w:tc>
        <w:tc>
          <w:tcPr>
            <w:tcW w:w="1199" w:type="dxa"/>
            <w:tcBorders>
              <w:top w:val="nil"/>
              <w:left w:val="nil"/>
              <w:bottom w:val="nil"/>
              <w:right w:val="nil"/>
            </w:tcBorders>
            <w:shd w:val="clear" w:color="auto" w:fill="auto"/>
            <w:noWrap/>
            <w:vAlign w:val="bottom"/>
          </w:tcPr>
          <w:p w14:paraId="4726EA20" w14:textId="77777777" w:rsidR="0010424C" w:rsidRPr="0055349C" w:rsidRDefault="0010424C" w:rsidP="000B330C">
            <w:pPr>
              <w:jc w:val="right"/>
              <w:rPr>
                <w:color w:val="0070C0"/>
                <w:sz w:val="18"/>
                <w:szCs w:val="18"/>
              </w:rPr>
            </w:pPr>
          </w:p>
        </w:tc>
        <w:tc>
          <w:tcPr>
            <w:tcW w:w="1209" w:type="dxa"/>
            <w:tcBorders>
              <w:top w:val="nil"/>
              <w:left w:val="nil"/>
              <w:bottom w:val="nil"/>
              <w:right w:val="single" w:sz="4" w:space="0" w:color="auto"/>
            </w:tcBorders>
            <w:shd w:val="clear" w:color="auto" w:fill="auto"/>
            <w:noWrap/>
            <w:vAlign w:val="bottom"/>
          </w:tcPr>
          <w:p w14:paraId="3AF0B939" w14:textId="77777777" w:rsidR="0010424C" w:rsidRPr="0055349C" w:rsidRDefault="0010424C" w:rsidP="000B330C">
            <w:pPr>
              <w:jc w:val="right"/>
              <w:rPr>
                <w:color w:val="0070C0"/>
                <w:sz w:val="18"/>
                <w:szCs w:val="18"/>
                <w:highlight w:val="yellow"/>
              </w:rPr>
            </w:pPr>
          </w:p>
        </w:tc>
      </w:tr>
      <w:tr w:rsidR="0010424C" w:rsidRPr="0055349C" w14:paraId="3C103C5A" w14:textId="77777777" w:rsidTr="000B330C">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2463EC66" w14:textId="77777777" w:rsidR="0010424C" w:rsidRPr="00163B57" w:rsidRDefault="0010424C" w:rsidP="000B330C">
            <w:pPr>
              <w:rPr>
                <w:sz w:val="18"/>
                <w:szCs w:val="18"/>
              </w:rPr>
            </w:pPr>
            <w:r w:rsidRPr="00163B57">
              <w:rPr>
                <w:sz w:val="18"/>
                <w:szCs w:val="18"/>
              </w:rPr>
              <w:t xml:space="preserve">  Лихвени</w:t>
            </w:r>
          </w:p>
        </w:tc>
        <w:tc>
          <w:tcPr>
            <w:tcW w:w="1287" w:type="dxa"/>
            <w:tcBorders>
              <w:top w:val="nil"/>
              <w:left w:val="single" w:sz="4" w:space="0" w:color="auto"/>
              <w:bottom w:val="nil"/>
              <w:right w:val="nil"/>
            </w:tcBorders>
            <w:shd w:val="clear" w:color="auto" w:fill="auto"/>
            <w:noWrap/>
            <w:vAlign w:val="bottom"/>
            <w:hideMark/>
          </w:tcPr>
          <w:p w14:paraId="2870B8FB" w14:textId="77777777" w:rsidR="0010424C" w:rsidRPr="000A4B5A" w:rsidRDefault="0010424C" w:rsidP="000B330C">
            <w:pPr>
              <w:jc w:val="right"/>
              <w:rPr>
                <w:sz w:val="18"/>
                <w:szCs w:val="18"/>
              </w:rPr>
            </w:pPr>
            <w:r w:rsidRPr="000A4B5A">
              <w:rPr>
                <w:sz w:val="18"/>
                <w:szCs w:val="18"/>
              </w:rPr>
              <w:t>388,6</w:t>
            </w:r>
          </w:p>
        </w:tc>
        <w:tc>
          <w:tcPr>
            <w:tcW w:w="1087" w:type="dxa"/>
            <w:tcBorders>
              <w:top w:val="nil"/>
              <w:left w:val="nil"/>
              <w:bottom w:val="nil"/>
              <w:right w:val="nil"/>
            </w:tcBorders>
            <w:shd w:val="clear" w:color="auto" w:fill="auto"/>
            <w:noWrap/>
            <w:vAlign w:val="bottom"/>
            <w:hideMark/>
          </w:tcPr>
          <w:p w14:paraId="07754A4E" w14:textId="77777777" w:rsidR="0010424C" w:rsidRPr="0055349C" w:rsidRDefault="0010424C" w:rsidP="000B330C">
            <w:pPr>
              <w:jc w:val="right"/>
              <w:rPr>
                <w:color w:val="0070C0"/>
                <w:sz w:val="18"/>
                <w:szCs w:val="18"/>
              </w:rPr>
            </w:pPr>
            <w:r>
              <w:rPr>
                <w:sz w:val="18"/>
                <w:szCs w:val="18"/>
              </w:rPr>
              <w:t>349,7</w:t>
            </w:r>
          </w:p>
        </w:tc>
        <w:tc>
          <w:tcPr>
            <w:tcW w:w="1222" w:type="dxa"/>
            <w:tcBorders>
              <w:top w:val="nil"/>
              <w:left w:val="nil"/>
              <w:bottom w:val="nil"/>
              <w:right w:val="nil"/>
            </w:tcBorders>
            <w:shd w:val="clear" w:color="auto" w:fill="auto"/>
            <w:noWrap/>
            <w:vAlign w:val="bottom"/>
            <w:hideMark/>
          </w:tcPr>
          <w:p w14:paraId="39B05300" w14:textId="77777777" w:rsidR="0010424C" w:rsidRPr="0055349C" w:rsidRDefault="0010424C" w:rsidP="000B330C">
            <w:pPr>
              <w:jc w:val="right"/>
              <w:rPr>
                <w:color w:val="0070C0"/>
                <w:sz w:val="18"/>
                <w:szCs w:val="18"/>
              </w:rPr>
            </w:pPr>
            <w:r>
              <w:rPr>
                <w:color w:val="000000"/>
                <w:sz w:val="18"/>
                <w:szCs w:val="18"/>
              </w:rPr>
              <w:t>349,7</w:t>
            </w:r>
          </w:p>
        </w:tc>
        <w:tc>
          <w:tcPr>
            <w:tcW w:w="1199" w:type="dxa"/>
            <w:tcBorders>
              <w:top w:val="nil"/>
              <w:left w:val="nil"/>
              <w:bottom w:val="nil"/>
              <w:right w:val="nil"/>
            </w:tcBorders>
            <w:shd w:val="clear" w:color="auto" w:fill="auto"/>
            <w:noWrap/>
            <w:vAlign w:val="bottom"/>
          </w:tcPr>
          <w:p w14:paraId="3C6CF779" w14:textId="77777777" w:rsidR="0010424C" w:rsidRPr="0055349C" w:rsidRDefault="0010424C" w:rsidP="000B330C">
            <w:pPr>
              <w:jc w:val="right"/>
              <w:rPr>
                <w:color w:val="0070C0"/>
                <w:sz w:val="18"/>
                <w:szCs w:val="18"/>
              </w:rPr>
            </w:pPr>
          </w:p>
        </w:tc>
        <w:tc>
          <w:tcPr>
            <w:tcW w:w="1209" w:type="dxa"/>
            <w:tcBorders>
              <w:top w:val="nil"/>
              <w:left w:val="nil"/>
              <w:bottom w:val="nil"/>
              <w:right w:val="single" w:sz="4" w:space="0" w:color="auto"/>
            </w:tcBorders>
            <w:shd w:val="clear" w:color="auto" w:fill="auto"/>
            <w:noWrap/>
            <w:vAlign w:val="bottom"/>
            <w:hideMark/>
          </w:tcPr>
          <w:p w14:paraId="3B5EB9F2" w14:textId="77777777" w:rsidR="0010424C" w:rsidRPr="0055349C" w:rsidRDefault="0010424C" w:rsidP="000B330C">
            <w:pPr>
              <w:jc w:val="right"/>
              <w:rPr>
                <w:color w:val="0070C0"/>
                <w:sz w:val="18"/>
                <w:szCs w:val="18"/>
                <w:highlight w:val="yellow"/>
              </w:rPr>
            </w:pPr>
            <w:r>
              <w:rPr>
                <w:sz w:val="18"/>
                <w:szCs w:val="18"/>
              </w:rPr>
              <w:t>90,0%</w:t>
            </w:r>
          </w:p>
        </w:tc>
      </w:tr>
      <w:tr w:rsidR="0010424C" w:rsidRPr="0055349C" w14:paraId="6F018E3A" w14:textId="77777777" w:rsidTr="000B330C">
        <w:trPr>
          <w:trHeight w:val="250"/>
        </w:trPr>
        <w:tc>
          <w:tcPr>
            <w:tcW w:w="4250" w:type="dxa"/>
            <w:tcBorders>
              <w:top w:val="nil"/>
              <w:left w:val="single" w:sz="8" w:space="0" w:color="auto"/>
              <w:bottom w:val="single" w:sz="4" w:space="0" w:color="auto"/>
              <w:right w:val="single" w:sz="4" w:space="0" w:color="auto"/>
            </w:tcBorders>
            <w:shd w:val="clear" w:color="auto" w:fill="auto"/>
            <w:noWrap/>
            <w:vAlign w:val="bottom"/>
            <w:hideMark/>
          </w:tcPr>
          <w:p w14:paraId="55E80E74" w14:textId="77777777" w:rsidR="0010424C" w:rsidRPr="00163B57" w:rsidRDefault="0010424C" w:rsidP="000B330C">
            <w:pPr>
              <w:rPr>
                <w:sz w:val="18"/>
                <w:szCs w:val="18"/>
              </w:rPr>
            </w:pPr>
            <w:r w:rsidRPr="00163B57">
              <w:rPr>
                <w:sz w:val="18"/>
                <w:szCs w:val="18"/>
              </w:rPr>
              <w:t xml:space="preserve">  Вноска за общия бюджет на ЕС</w:t>
            </w:r>
          </w:p>
        </w:tc>
        <w:tc>
          <w:tcPr>
            <w:tcW w:w="1287" w:type="dxa"/>
            <w:tcBorders>
              <w:top w:val="nil"/>
              <w:left w:val="single" w:sz="4" w:space="0" w:color="auto"/>
              <w:bottom w:val="single" w:sz="4" w:space="0" w:color="auto"/>
              <w:right w:val="nil"/>
            </w:tcBorders>
            <w:shd w:val="clear" w:color="auto" w:fill="auto"/>
            <w:noWrap/>
            <w:vAlign w:val="bottom"/>
            <w:hideMark/>
          </w:tcPr>
          <w:p w14:paraId="427F561A" w14:textId="77777777" w:rsidR="0010424C" w:rsidRPr="000A4B5A" w:rsidRDefault="0010424C" w:rsidP="000B330C">
            <w:pPr>
              <w:jc w:val="right"/>
              <w:rPr>
                <w:sz w:val="18"/>
                <w:szCs w:val="18"/>
              </w:rPr>
            </w:pPr>
            <w:r w:rsidRPr="000A4B5A">
              <w:rPr>
                <w:sz w:val="18"/>
                <w:szCs w:val="18"/>
              </w:rPr>
              <w:t>812,8</w:t>
            </w:r>
          </w:p>
        </w:tc>
        <w:tc>
          <w:tcPr>
            <w:tcW w:w="1087" w:type="dxa"/>
            <w:tcBorders>
              <w:top w:val="nil"/>
              <w:left w:val="nil"/>
              <w:bottom w:val="single" w:sz="4" w:space="0" w:color="auto"/>
              <w:right w:val="nil"/>
            </w:tcBorders>
            <w:shd w:val="clear" w:color="auto" w:fill="auto"/>
            <w:noWrap/>
            <w:vAlign w:val="bottom"/>
            <w:hideMark/>
          </w:tcPr>
          <w:p w14:paraId="2A16F4BF" w14:textId="77777777" w:rsidR="0010424C" w:rsidRPr="0055349C" w:rsidRDefault="0010424C" w:rsidP="000B330C">
            <w:pPr>
              <w:jc w:val="right"/>
              <w:rPr>
                <w:color w:val="0070C0"/>
                <w:sz w:val="18"/>
                <w:szCs w:val="18"/>
              </w:rPr>
            </w:pPr>
            <w:r>
              <w:rPr>
                <w:sz w:val="18"/>
                <w:szCs w:val="18"/>
              </w:rPr>
              <w:t>847,6</w:t>
            </w:r>
          </w:p>
        </w:tc>
        <w:tc>
          <w:tcPr>
            <w:tcW w:w="1222" w:type="dxa"/>
            <w:tcBorders>
              <w:top w:val="nil"/>
              <w:left w:val="nil"/>
              <w:bottom w:val="single" w:sz="4" w:space="0" w:color="auto"/>
              <w:right w:val="nil"/>
            </w:tcBorders>
            <w:shd w:val="clear" w:color="auto" w:fill="auto"/>
            <w:noWrap/>
            <w:vAlign w:val="bottom"/>
            <w:hideMark/>
          </w:tcPr>
          <w:p w14:paraId="4DB7F9EF" w14:textId="77777777" w:rsidR="0010424C" w:rsidRPr="0055349C" w:rsidRDefault="0010424C" w:rsidP="000B330C">
            <w:pPr>
              <w:jc w:val="right"/>
              <w:rPr>
                <w:color w:val="0070C0"/>
                <w:sz w:val="18"/>
                <w:szCs w:val="18"/>
              </w:rPr>
            </w:pPr>
            <w:r>
              <w:rPr>
                <w:color w:val="000000"/>
                <w:sz w:val="18"/>
                <w:szCs w:val="18"/>
              </w:rPr>
              <w:t>847,6</w:t>
            </w:r>
          </w:p>
        </w:tc>
        <w:tc>
          <w:tcPr>
            <w:tcW w:w="1199" w:type="dxa"/>
            <w:tcBorders>
              <w:top w:val="nil"/>
              <w:left w:val="nil"/>
              <w:bottom w:val="single" w:sz="4" w:space="0" w:color="auto"/>
              <w:right w:val="nil"/>
            </w:tcBorders>
            <w:shd w:val="clear" w:color="auto" w:fill="auto"/>
            <w:noWrap/>
            <w:vAlign w:val="bottom"/>
          </w:tcPr>
          <w:p w14:paraId="25FC28A8" w14:textId="77777777" w:rsidR="0010424C" w:rsidRPr="0055349C" w:rsidRDefault="0010424C" w:rsidP="000B330C">
            <w:pPr>
              <w:jc w:val="right"/>
              <w:rPr>
                <w:color w:val="0070C0"/>
                <w:sz w:val="18"/>
                <w:szCs w:val="18"/>
              </w:rPr>
            </w:pPr>
          </w:p>
        </w:tc>
        <w:tc>
          <w:tcPr>
            <w:tcW w:w="1209" w:type="dxa"/>
            <w:tcBorders>
              <w:top w:val="nil"/>
              <w:left w:val="nil"/>
              <w:bottom w:val="single" w:sz="4" w:space="0" w:color="auto"/>
              <w:right w:val="single" w:sz="4" w:space="0" w:color="auto"/>
            </w:tcBorders>
            <w:shd w:val="clear" w:color="auto" w:fill="auto"/>
            <w:noWrap/>
            <w:vAlign w:val="bottom"/>
            <w:hideMark/>
          </w:tcPr>
          <w:p w14:paraId="55B07EE9" w14:textId="77777777" w:rsidR="0010424C" w:rsidRPr="0055349C" w:rsidRDefault="0010424C" w:rsidP="000B330C">
            <w:pPr>
              <w:jc w:val="right"/>
              <w:rPr>
                <w:color w:val="0070C0"/>
                <w:sz w:val="18"/>
                <w:szCs w:val="18"/>
                <w:highlight w:val="yellow"/>
              </w:rPr>
            </w:pPr>
            <w:r>
              <w:rPr>
                <w:sz w:val="18"/>
                <w:szCs w:val="18"/>
              </w:rPr>
              <w:t>104,3%</w:t>
            </w:r>
          </w:p>
        </w:tc>
      </w:tr>
      <w:tr w:rsidR="0010424C" w:rsidRPr="0055349C" w14:paraId="31DC93BC" w14:textId="77777777" w:rsidTr="000B330C">
        <w:trPr>
          <w:trHeight w:val="250"/>
        </w:trPr>
        <w:tc>
          <w:tcPr>
            <w:tcW w:w="4250" w:type="dxa"/>
            <w:tcBorders>
              <w:top w:val="nil"/>
              <w:left w:val="single" w:sz="8" w:space="0" w:color="auto"/>
              <w:bottom w:val="single" w:sz="4" w:space="0" w:color="auto"/>
              <w:right w:val="single" w:sz="4" w:space="0" w:color="auto"/>
            </w:tcBorders>
            <w:shd w:val="clear" w:color="auto" w:fill="auto"/>
            <w:noWrap/>
            <w:vAlign w:val="bottom"/>
            <w:hideMark/>
          </w:tcPr>
          <w:p w14:paraId="29BA4241" w14:textId="77777777" w:rsidR="0010424C" w:rsidRPr="00163B57" w:rsidRDefault="0010424C" w:rsidP="000B330C">
            <w:pPr>
              <w:rPr>
                <w:sz w:val="18"/>
                <w:szCs w:val="18"/>
              </w:rPr>
            </w:pPr>
            <w:r w:rsidRPr="00163B57">
              <w:rPr>
                <w:sz w:val="18"/>
                <w:szCs w:val="18"/>
              </w:rPr>
              <w:t>Трансфери</w:t>
            </w:r>
            <w:r w:rsidRPr="00163B57">
              <w:rPr>
                <w:sz w:val="18"/>
                <w:szCs w:val="18"/>
                <w:lang w:val="en-US"/>
              </w:rPr>
              <w:t xml:space="preserve"> </w:t>
            </w:r>
            <w:r w:rsidRPr="00163B57">
              <w:rPr>
                <w:sz w:val="18"/>
                <w:szCs w:val="18"/>
              </w:rPr>
              <w:t>-</w:t>
            </w:r>
            <w:r w:rsidRPr="00163B57">
              <w:rPr>
                <w:sz w:val="18"/>
                <w:szCs w:val="18"/>
                <w:lang w:val="en-US"/>
              </w:rPr>
              <w:t xml:space="preserve"> </w:t>
            </w:r>
            <w:r w:rsidRPr="00163B57">
              <w:rPr>
                <w:sz w:val="18"/>
                <w:szCs w:val="18"/>
              </w:rPr>
              <w:t>нето</w:t>
            </w:r>
          </w:p>
        </w:tc>
        <w:tc>
          <w:tcPr>
            <w:tcW w:w="1287" w:type="dxa"/>
            <w:tcBorders>
              <w:top w:val="single" w:sz="4" w:space="0" w:color="auto"/>
              <w:left w:val="single" w:sz="4" w:space="0" w:color="auto"/>
              <w:bottom w:val="single" w:sz="4" w:space="0" w:color="auto"/>
              <w:right w:val="nil"/>
            </w:tcBorders>
            <w:shd w:val="clear" w:color="auto" w:fill="auto"/>
            <w:noWrap/>
            <w:vAlign w:val="bottom"/>
            <w:hideMark/>
          </w:tcPr>
          <w:p w14:paraId="698C82C4" w14:textId="77777777" w:rsidR="0010424C" w:rsidRPr="0055349C" w:rsidRDefault="0010424C" w:rsidP="000B330C">
            <w:pPr>
              <w:jc w:val="right"/>
              <w:rPr>
                <w:color w:val="0070C0"/>
                <w:sz w:val="18"/>
                <w:szCs w:val="18"/>
              </w:rPr>
            </w:pPr>
          </w:p>
        </w:tc>
        <w:tc>
          <w:tcPr>
            <w:tcW w:w="1087" w:type="dxa"/>
            <w:tcBorders>
              <w:top w:val="single" w:sz="4" w:space="0" w:color="auto"/>
              <w:left w:val="nil"/>
              <w:bottom w:val="single" w:sz="4" w:space="0" w:color="auto"/>
              <w:right w:val="nil"/>
            </w:tcBorders>
            <w:shd w:val="clear" w:color="auto" w:fill="auto"/>
            <w:noWrap/>
            <w:vAlign w:val="bottom"/>
            <w:hideMark/>
          </w:tcPr>
          <w:p w14:paraId="4E817A29" w14:textId="77777777" w:rsidR="0010424C" w:rsidRPr="0055349C" w:rsidRDefault="0010424C" w:rsidP="000B330C">
            <w:pPr>
              <w:jc w:val="right"/>
              <w:rPr>
                <w:b/>
                <w:bCs/>
                <w:color w:val="0070C0"/>
                <w:sz w:val="18"/>
                <w:szCs w:val="18"/>
              </w:rPr>
            </w:pPr>
          </w:p>
        </w:tc>
        <w:tc>
          <w:tcPr>
            <w:tcW w:w="1222" w:type="dxa"/>
            <w:tcBorders>
              <w:top w:val="single" w:sz="4" w:space="0" w:color="auto"/>
              <w:left w:val="nil"/>
              <w:bottom w:val="single" w:sz="4" w:space="0" w:color="auto"/>
              <w:right w:val="nil"/>
            </w:tcBorders>
            <w:shd w:val="clear" w:color="auto" w:fill="auto"/>
            <w:noWrap/>
            <w:vAlign w:val="bottom"/>
            <w:hideMark/>
          </w:tcPr>
          <w:p w14:paraId="58385261" w14:textId="77777777" w:rsidR="0010424C" w:rsidRPr="0055349C" w:rsidRDefault="0010424C" w:rsidP="000B330C">
            <w:pPr>
              <w:jc w:val="right"/>
              <w:rPr>
                <w:color w:val="0070C0"/>
                <w:sz w:val="18"/>
                <w:szCs w:val="18"/>
              </w:rPr>
            </w:pPr>
            <w:r>
              <w:rPr>
                <w:color w:val="000000"/>
                <w:sz w:val="18"/>
                <w:szCs w:val="18"/>
              </w:rPr>
              <w:t>-334,8</w:t>
            </w:r>
          </w:p>
        </w:tc>
        <w:tc>
          <w:tcPr>
            <w:tcW w:w="1199" w:type="dxa"/>
            <w:tcBorders>
              <w:top w:val="single" w:sz="4" w:space="0" w:color="auto"/>
              <w:left w:val="nil"/>
              <w:bottom w:val="single" w:sz="4" w:space="0" w:color="auto"/>
              <w:right w:val="nil"/>
            </w:tcBorders>
            <w:shd w:val="clear" w:color="auto" w:fill="auto"/>
            <w:noWrap/>
            <w:vAlign w:val="bottom"/>
            <w:hideMark/>
          </w:tcPr>
          <w:p w14:paraId="03BD4B21" w14:textId="77777777" w:rsidR="0010424C" w:rsidRPr="0055349C" w:rsidRDefault="0010424C" w:rsidP="000B330C">
            <w:pPr>
              <w:jc w:val="right"/>
              <w:rPr>
                <w:color w:val="0070C0"/>
                <w:sz w:val="18"/>
                <w:szCs w:val="18"/>
              </w:rPr>
            </w:pPr>
            <w:r>
              <w:rPr>
                <w:color w:val="000000"/>
                <w:sz w:val="18"/>
                <w:szCs w:val="18"/>
              </w:rPr>
              <w:t>334,8</w:t>
            </w:r>
          </w:p>
        </w:tc>
        <w:tc>
          <w:tcPr>
            <w:tcW w:w="1209" w:type="dxa"/>
            <w:tcBorders>
              <w:top w:val="single" w:sz="4" w:space="0" w:color="auto"/>
              <w:left w:val="nil"/>
              <w:bottom w:val="single" w:sz="4" w:space="0" w:color="auto"/>
              <w:right w:val="single" w:sz="8" w:space="0" w:color="auto"/>
            </w:tcBorders>
            <w:shd w:val="clear" w:color="auto" w:fill="auto"/>
            <w:noWrap/>
            <w:vAlign w:val="bottom"/>
            <w:hideMark/>
          </w:tcPr>
          <w:p w14:paraId="0FF7D615" w14:textId="77777777" w:rsidR="0010424C" w:rsidRPr="0055349C" w:rsidRDefault="0010424C" w:rsidP="000B330C">
            <w:pPr>
              <w:rPr>
                <w:b/>
                <w:bCs/>
                <w:color w:val="0070C0"/>
                <w:sz w:val="18"/>
                <w:szCs w:val="18"/>
              </w:rPr>
            </w:pPr>
          </w:p>
        </w:tc>
      </w:tr>
      <w:tr w:rsidR="0010424C" w:rsidRPr="0055349C" w14:paraId="32688215" w14:textId="77777777" w:rsidTr="000B330C">
        <w:trPr>
          <w:trHeight w:val="265"/>
        </w:trPr>
        <w:tc>
          <w:tcPr>
            <w:tcW w:w="425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761C5E4C" w14:textId="77777777" w:rsidR="0010424C" w:rsidRPr="00163B57" w:rsidRDefault="0010424C" w:rsidP="000B330C">
            <w:pPr>
              <w:rPr>
                <w:b/>
                <w:bCs/>
                <w:sz w:val="18"/>
                <w:szCs w:val="18"/>
              </w:rPr>
            </w:pPr>
            <w:r w:rsidRPr="00163B57">
              <w:rPr>
                <w:b/>
                <w:bCs/>
                <w:sz w:val="18"/>
                <w:szCs w:val="18"/>
              </w:rPr>
              <w:t>БЮДЖЕТНО САЛДО</w:t>
            </w:r>
          </w:p>
        </w:tc>
        <w:tc>
          <w:tcPr>
            <w:tcW w:w="1287" w:type="dxa"/>
            <w:tcBorders>
              <w:top w:val="nil"/>
              <w:left w:val="single" w:sz="4" w:space="0" w:color="auto"/>
              <w:bottom w:val="single" w:sz="8" w:space="0" w:color="auto"/>
              <w:right w:val="nil"/>
            </w:tcBorders>
            <w:shd w:val="clear" w:color="auto" w:fill="auto"/>
            <w:noWrap/>
            <w:vAlign w:val="bottom"/>
            <w:hideMark/>
          </w:tcPr>
          <w:p w14:paraId="395A82FE" w14:textId="77777777" w:rsidR="0010424C" w:rsidRPr="000A4B5A" w:rsidRDefault="0010424C" w:rsidP="000B330C">
            <w:pPr>
              <w:jc w:val="right"/>
              <w:rPr>
                <w:b/>
                <w:bCs/>
                <w:sz w:val="18"/>
                <w:szCs w:val="18"/>
              </w:rPr>
            </w:pPr>
            <w:r w:rsidRPr="000A4B5A">
              <w:rPr>
                <w:b/>
                <w:bCs/>
                <w:sz w:val="18"/>
                <w:szCs w:val="18"/>
              </w:rPr>
              <w:t>1 176,0</w:t>
            </w:r>
          </w:p>
        </w:tc>
        <w:tc>
          <w:tcPr>
            <w:tcW w:w="1087" w:type="dxa"/>
            <w:tcBorders>
              <w:top w:val="single" w:sz="4" w:space="0" w:color="auto"/>
              <w:left w:val="nil"/>
              <w:bottom w:val="single" w:sz="4" w:space="0" w:color="auto"/>
              <w:right w:val="nil"/>
            </w:tcBorders>
            <w:shd w:val="clear" w:color="auto" w:fill="auto"/>
            <w:noWrap/>
            <w:vAlign w:val="bottom"/>
            <w:hideMark/>
          </w:tcPr>
          <w:p w14:paraId="60602E00" w14:textId="77777777" w:rsidR="0010424C" w:rsidRPr="0055349C" w:rsidRDefault="0010424C" w:rsidP="000B330C">
            <w:pPr>
              <w:jc w:val="right"/>
              <w:rPr>
                <w:b/>
                <w:bCs/>
                <w:color w:val="0070C0"/>
                <w:sz w:val="18"/>
                <w:szCs w:val="18"/>
              </w:rPr>
            </w:pPr>
            <w:r>
              <w:rPr>
                <w:b/>
                <w:bCs/>
                <w:sz w:val="18"/>
                <w:szCs w:val="18"/>
              </w:rPr>
              <w:t>177,7</w:t>
            </w:r>
          </w:p>
        </w:tc>
        <w:tc>
          <w:tcPr>
            <w:tcW w:w="1222" w:type="dxa"/>
            <w:tcBorders>
              <w:top w:val="single" w:sz="4" w:space="0" w:color="auto"/>
              <w:left w:val="nil"/>
              <w:bottom w:val="single" w:sz="4" w:space="0" w:color="auto"/>
              <w:right w:val="nil"/>
            </w:tcBorders>
            <w:shd w:val="clear" w:color="auto" w:fill="auto"/>
            <w:noWrap/>
            <w:vAlign w:val="bottom"/>
            <w:hideMark/>
          </w:tcPr>
          <w:p w14:paraId="64D1AD22" w14:textId="77777777" w:rsidR="0010424C" w:rsidRPr="0055349C" w:rsidRDefault="0010424C" w:rsidP="000B330C">
            <w:pPr>
              <w:jc w:val="right"/>
              <w:rPr>
                <w:b/>
                <w:bCs/>
                <w:color w:val="0070C0"/>
                <w:sz w:val="18"/>
                <w:szCs w:val="18"/>
              </w:rPr>
            </w:pPr>
            <w:r>
              <w:rPr>
                <w:b/>
                <w:bCs/>
                <w:color w:val="000000"/>
                <w:sz w:val="18"/>
                <w:szCs w:val="18"/>
              </w:rPr>
              <w:t>167,4</w:t>
            </w:r>
          </w:p>
        </w:tc>
        <w:tc>
          <w:tcPr>
            <w:tcW w:w="1199" w:type="dxa"/>
            <w:tcBorders>
              <w:top w:val="single" w:sz="4" w:space="0" w:color="auto"/>
              <w:left w:val="nil"/>
              <w:bottom w:val="single" w:sz="4" w:space="0" w:color="auto"/>
              <w:right w:val="nil"/>
            </w:tcBorders>
            <w:shd w:val="clear" w:color="auto" w:fill="auto"/>
            <w:noWrap/>
            <w:vAlign w:val="bottom"/>
            <w:hideMark/>
          </w:tcPr>
          <w:p w14:paraId="5AEBEA36" w14:textId="77777777" w:rsidR="0010424C" w:rsidRPr="0055349C" w:rsidRDefault="0010424C" w:rsidP="000B330C">
            <w:pPr>
              <w:jc w:val="right"/>
              <w:rPr>
                <w:b/>
                <w:bCs/>
                <w:color w:val="0070C0"/>
                <w:sz w:val="18"/>
                <w:szCs w:val="18"/>
              </w:rPr>
            </w:pPr>
            <w:r>
              <w:rPr>
                <w:b/>
                <w:bCs/>
                <w:color w:val="000000"/>
                <w:sz w:val="18"/>
                <w:szCs w:val="18"/>
              </w:rPr>
              <w:t>10,2</w:t>
            </w:r>
          </w:p>
        </w:tc>
        <w:tc>
          <w:tcPr>
            <w:tcW w:w="1209" w:type="dxa"/>
            <w:tcBorders>
              <w:top w:val="nil"/>
              <w:left w:val="nil"/>
              <w:bottom w:val="single" w:sz="8" w:space="0" w:color="auto"/>
              <w:right w:val="single" w:sz="8" w:space="0" w:color="auto"/>
            </w:tcBorders>
            <w:shd w:val="clear" w:color="auto" w:fill="auto"/>
            <w:noWrap/>
            <w:vAlign w:val="bottom"/>
            <w:hideMark/>
          </w:tcPr>
          <w:p w14:paraId="2784F2EF" w14:textId="77777777" w:rsidR="0010424C" w:rsidRPr="0055349C" w:rsidRDefault="0010424C" w:rsidP="000B330C">
            <w:pPr>
              <w:rPr>
                <w:b/>
                <w:bCs/>
                <w:color w:val="0070C0"/>
                <w:sz w:val="18"/>
                <w:szCs w:val="18"/>
              </w:rPr>
            </w:pPr>
          </w:p>
        </w:tc>
      </w:tr>
    </w:tbl>
    <w:p w14:paraId="6E532F80" w14:textId="77777777" w:rsidR="0010424C" w:rsidRDefault="0010424C" w:rsidP="0010424C">
      <w:pPr>
        <w:ind w:left="360"/>
        <w:jc w:val="both"/>
        <w:rPr>
          <w:color w:val="0070C0"/>
          <w:sz w:val="22"/>
        </w:rPr>
      </w:pPr>
    </w:p>
    <w:p w14:paraId="08523378" w14:textId="77777777" w:rsidR="0010424C" w:rsidRPr="00C420F6" w:rsidRDefault="0010424C" w:rsidP="0010424C">
      <w:pPr>
        <w:tabs>
          <w:tab w:val="num" w:pos="2880"/>
        </w:tabs>
        <w:jc w:val="both"/>
        <w:rPr>
          <w:rFonts w:eastAsia="Calibri"/>
          <w:color w:val="0070C0"/>
        </w:rPr>
      </w:pPr>
    </w:p>
    <w:p w14:paraId="548D40B5" w14:textId="63338C34" w:rsidR="0010424C" w:rsidRPr="00483DE4" w:rsidRDefault="0010424C" w:rsidP="0010424C">
      <w:pPr>
        <w:numPr>
          <w:ilvl w:val="1"/>
          <w:numId w:val="10"/>
        </w:numPr>
        <w:tabs>
          <w:tab w:val="num" w:pos="426"/>
        </w:tabs>
        <w:ind w:left="0" w:firstLine="0"/>
        <w:jc w:val="both"/>
        <w:rPr>
          <w:rFonts w:eastAsia="Calibri"/>
        </w:rPr>
      </w:pPr>
      <w:r w:rsidRPr="00624196">
        <w:rPr>
          <w:b/>
        </w:rPr>
        <w:t>Приходите, помощите и даренията по консолидираната фискална програма</w:t>
      </w:r>
      <w:r w:rsidRPr="00624196">
        <w:t xml:space="preserve"> (КФП) за</w:t>
      </w:r>
      <w:r w:rsidRPr="00624196">
        <w:rPr>
          <w:b/>
        </w:rPr>
        <w:t xml:space="preserve"> </w:t>
      </w:r>
      <w:r w:rsidRPr="000B22A0">
        <w:t xml:space="preserve">първото полугодие на 2023 г. са в размер на </w:t>
      </w:r>
      <w:r w:rsidRPr="000B22A0">
        <w:rPr>
          <w:b/>
          <w:bCs/>
          <w:lang w:val="ru-RU"/>
        </w:rPr>
        <w:t>31 404,0</w:t>
      </w:r>
      <w:r w:rsidRPr="000B22A0">
        <w:rPr>
          <w:b/>
          <w:bCs/>
        </w:rPr>
        <w:t> </w:t>
      </w:r>
      <w:r w:rsidRPr="000B22A0">
        <w:rPr>
          <w:b/>
          <w:bCs/>
          <w:lang w:eastAsia="bg-BG"/>
        </w:rPr>
        <w:t>млн. лв</w:t>
      </w:r>
      <w:r w:rsidRPr="000B22A0">
        <w:rPr>
          <w:bCs/>
          <w:lang w:eastAsia="bg-BG"/>
        </w:rPr>
        <w:t xml:space="preserve">. </w:t>
      </w:r>
      <w:r w:rsidRPr="000B22A0">
        <w:rPr>
          <w:rFonts w:eastAsia="Calibri"/>
        </w:rPr>
        <w:t xml:space="preserve">Постъпленията нарастват с 3 156,1 </w:t>
      </w:r>
      <w:r w:rsidRPr="00F50FC5">
        <w:rPr>
          <w:rFonts w:eastAsia="Calibri"/>
        </w:rPr>
        <w:t>млн. лв. (11,2 %) спрямо отчетените към юни 2022 г</w:t>
      </w:r>
      <w:r w:rsidRPr="0055349C">
        <w:rPr>
          <w:rFonts w:eastAsia="Calibri"/>
          <w:color w:val="0070C0"/>
        </w:rPr>
        <w:t>.</w:t>
      </w:r>
    </w:p>
    <w:p w14:paraId="49F84FD9" w14:textId="3D821013" w:rsidR="0010424C" w:rsidRPr="007411AD" w:rsidRDefault="0010424C" w:rsidP="0010424C">
      <w:pPr>
        <w:spacing w:before="120"/>
        <w:jc w:val="both"/>
      </w:pPr>
      <w:r w:rsidRPr="007411AD">
        <w:t>Общата сума</w:t>
      </w:r>
      <w:r w:rsidRPr="007411AD">
        <w:rPr>
          <w:b/>
        </w:rPr>
        <w:t xml:space="preserve"> </w:t>
      </w:r>
      <w:r w:rsidRPr="007411AD">
        <w:t>на</w:t>
      </w:r>
      <w:r w:rsidRPr="007411AD">
        <w:rPr>
          <w:b/>
        </w:rPr>
        <w:t xml:space="preserve"> </w:t>
      </w:r>
      <w:r w:rsidRPr="007411AD">
        <w:rPr>
          <w:b/>
          <w:i/>
        </w:rPr>
        <w:t>данъчните постъпления</w:t>
      </w:r>
      <w:r w:rsidRPr="007411AD">
        <w:t xml:space="preserve"> (вкл. приходите от осигурителни вноски) </w:t>
      </w:r>
      <w:r w:rsidR="007E5F7B">
        <w:t>е</w:t>
      </w:r>
      <w:r w:rsidRPr="007411AD">
        <w:t xml:space="preserve"> в размер на </w:t>
      </w:r>
      <w:r w:rsidRPr="007411AD">
        <w:rPr>
          <w:b/>
          <w:bCs/>
          <w:i/>
        </w:rPr>
        <w:t>24 580,4 </w:t>
      </w:r>
      <w:r w:rsidRPr="007411AD">
        <w:rPr>
          <w:b/>
          <w:i/>
        </w:rPr>
        <w:t xml:space="preserve">млн. лв. </w:t>
      </w:r>
      <w:r w:rsidR="00F67329" w:rsidRPr="0075142C">
        <w:t>Постъпленията от данъци и осигурителни вноски нарастват с 2 341,4 млн. лв. (10,5 %) спрямо отчетените за същия период на предходната година, като формират 78,3 % от общите постъпления по КФП за периода. Постъпленията от преки данъци, социално и здравно осигурителни вноски и други данъци</w:t>
      </w:r>
      <w:r w:rsidR="00F67329" w:rsidRPr="0075142C">
        <w:rPr>
          <w:vertAlign w:val="superscript"/>
        </w:rPr>
        <w:footnoteReference w:id="5"/>
      </w:r>
      <w:r w:rsidR="00F67329">
        <w:t xml:space="preserve"> </w:t>
      </w:r>
      <w:r w:rsidR="00F67329" w:rsidRPr="0075142C">
        <w:t>нарастват с добри темпове, докато косвените данъци</w:t>
      </w:r>
      <w:r w:rsidR="00F67329" w:rsidRPr="00B019A1">
        <w:rPr>
          <w:lang w:val="ru-RU"/>
        </w:rPr>
        <w:t xml:space="preserve"> </w:t>
      </w:r>
      <w:r w:rsidR="00F67329" w:rsidRPr="0075142C">
        <w:t>остават близки до отчетените за същия период на предходната година, основно поради по-ниски постъпления в частта на приходите от ДДС от внос и приходите от мита. Един от факторите за това е спадът на цената на суровия петрол, внесен за преработка, спрямо отчетената за същия период на предходната година. В допълнение, върху размера на ДДС от внос влияят и курсът на щатския долар, както и спадът на количествата на внесените стоки, пораждащи ДДС, в т.ч. на суровия петрол</w:t>
      </w:r>
      <w:r w:rsidRPr="007411AD">
        <w:t xml:space="preserve">. </w:t>
      </w:r>
    </w:p>
    <w:p w14:paraId="561C077B" w14:textId="0D4002AA" w:rsidR="0010424C" w:rsidRPr="0055349C" w:rsidRDefault="0010424C" w:rsidP="0010424C">
      <w:pPr>
        <w:spacing w:before="120"/>
        <w:jc w:val="both"/>
        <w:rPr>
          <w:color w:val="0070C0"/>
        </w:rPr>
      </w:pPr>
      <w:r w:rsidRPr="00F03AEA">
        <w:t xml:space="preserve">Приходите в частта на </w:t>
      </w:r>
      <w:r w:rsidRPr="00F03AEA">
        <w:rPr>
          <w:i/>
        </w:rPr>
        <w:t xml:space="preserve">преките данъци </w:t>
      </w:r>
      <w:r w:rsidRPr="00F03AEA">
        <w:t xml:space="preserve">възлизат на 4 946,1 млн. лв., като нарастват с </w:t>
      </w:r>
      <w:r w:rsidRPr="00F03AEA">
        <w:rPr>
          <w:rFonts w:eastAsia="Calibri"/>
        </w:rPr>
        <w:t xml:space="preserve">634,8 млн. </w:t>
      </w:r>
      <w:r w:rsidRPr="00504329">
        <w:rPr>
          <w:rFonts w:eastAsia="Calibri"/>
        </w:rPr>
        <w:t xml:space="preserve">лв. </w:t>
      </w:r>
      <w:r w:rsidRPr="00504329">
        <w:rPr>
          <w:rFonts w:eastAsia="Calibri"/>
          <w:lang w:val="ru-RU"/>
        </w:rPr>
        <w:t>(</w:t>
      </w:r>
      <w:r w:rsidRPr="00504329">
        <w:rPr>
          <w:rFonts w:eastAsia="Calibri"/>
        </w:rPr>
        <w:t>14,7 %</w:t>
      </w:r>
      <w:r w:rsidRPr="00504329">
        <w:rPr>
          <w:rFonts w:eastAsia="Calibri"/>
          <w:lang w:val="ru-RU"/>
        </w:rPr>
        <w:t xml:space="preserve">) спрямо </w:t>
      </w:r>
      <w:r w:rsidRPr="00504329">
        <w:t xml:space="preserve">отчетените към юни 2022 г. Приходите от </w:t>
      </w:r>
      <w:r w:rsidRPr="00F03AEA">
        <w:rPr>
          <w:i/>
        </w:rPr>
        <w:t>косвени данъци</w:t>
      </w:r>
      <w:r w:rsidRPr="00F03AEA">
        <w:t xml:space="preserve"> са в размер на 10 454,4 </w:t>
      </w:r>
      <w:r w:rsidRPr="00F03AEA">
        <w:rPr>
          <w:rFonts w:eastAsia="Calibri"/>
          <w:bCs/>
          <w:iCs/>
        </w:rPr>
        <w:t>млн. лв.</w:t>
      </w:r>
      <w:r w:rsidRPr="00F03AEA">
        <w:rPr>
          <w:rFonts w:eastAsia="Calibri"/>
        </w:rPr>
        <w:t xml:space="preserve"> </w:t>
      </w:r>
      <w:r w:rsidRPr="00F03AEA">
        <w:t xml:space="preserve">(спад с 95,4 млн. лв., 0,9 % спрямо отчетените към юни 2022 г.). Постъпленията от </w:t>
      </w:r>
      <w:r w:rsidRPr="00F03AEA">
        <w:rPr>
          <w:i/>
        </w:rPr>
        <w:t>други данъци</w:t>
      </w:r>
      <w:r w:rsidRPr="00F03AEA">
        <w:t xml:space="preserve"> (включват други данъци по ЗКПО, имуществени</w:t>
      </w:r>
      <w:r w:rsidRPr="0042359B">
        <w:t xml:space="preserve"> и др. данъци) са в размер на </w:t>
      </w:r>
      <w:r w:rsidRPr="0042359B">
        <w:rPr>
          <w:lang w:val="ru-RU"/>
        </w:rPr>
        <w:t>1 720,6</w:t>
      </w:r>
      <w:r w:rsidRPr="0042359B">
        <w:t xml:space="preserve"> млн. лв. </w:t>
      </w:r>
      <w:r w:rsidRPr="00175BF0">
        <w:t xml:space="preserve">(в т. ч. 676,6 млн. лв. целеви вноски във </w:t>
      </w:r>
      <w:r w:rsidR="007E5F7B">
        <w:t>ФСЕС</w:t>
      </w:r>
      <w:r w:rsidRPr="0042359B">
        <w:t>) или ръст от 806,5 млн. лв. спрямо отчетените към юни 2022 г. Приходите от социални и здравноосигурителни вноски са в размер на 7 459,3 млн. лв., което представлява ръст от 995,5 млн. лв. (15,4 %) спрямо отчетените за същия период на 2022 година</w:t>
      </w:r>
      <w:r w:rsidRPr="0055349C">
        <w:rPr>
          <w:color w:val="0070C0"/>
        </w:rPr>
        <w:t xml:space="preserve">. </w:t>
      </w:r>
    </w:p>
    <w:p w14:paraId="0C57D6BF" w14:textId="0CBE89DA" w:rsidR="0010424C" w:rsidRPr="0055349C" w:rsidRDefault="0010424C" w:rsidP="0010424C">
      <w:pPr>
        <w:spacing w:before="120"/>
        <w:jc w:val="both"/>
        <w:rPr>
          <w:color w:val="0070C0"/>
        </w:rPr>
      </w:pPr>
      <w:r w:rsidRPr="001B3041">
        <w:rPr>
          <w:rFonts w:eastAsia="Calibri"/>
          <w:b/>
          <w:bCs/>
          <w:i/>
        </w:rPr>
        <w:t>Неданъчните приходи</w:t>
      </w:r>
      <w:r w:rsidRPr="001B3041">
        <w:rPr>
          <w:rFonts w:eastAsia="Calibri"/>
          <w:bCs/>
        </w:rPr>
        <w:t xml:space="preserve"> са </w:t>
      </w:r>
      <w:r w:rsidRPr="001B3041">
        <w:t xml:space="preserve">в размер на </w:t>
      </w:r>
      <w:r w:rsidRPr="001B3041">
        <w:rPr>
          <w:b/>
          <w:i/>
        </w:rPr>
        <w:t xml:space="preserve">5 620,8 </w:t>
      </w:r>
      <w:r w:rsidRPr="001B3041">
        <w:rPr>
          <w:b/>
          <w:bCs/>
          <w:i/>
        </w:rPr>
        <w:t xml:space="preserve">млн. лв. </w:t>
      </w:r>
      <w:r w:rsidRPr="001B3041">
        <w:rPr>
          <w:rFonts w:eastAsia="Calibri"/>
        </w:rPr>
        <w:t xml:space="preserve">(ръст от 1 029,5 млн. лв., 22,4 % спрямо </w:t>
      </w:r>
      <w:r w:rsidRPr="004334E9">
        <w:rPr>
          <w:rFonts w:eastAsia="Calibri"/>
        </w:rPr>
        <w:t>същия период на</w:t>
      </w:r>
      <w:r w:rsidRPr="004334E9">
        <w:t xml:space="preserve"> 2022 г.</w:t>
      </w:r>
      <w:r w:rsidRPr="004334E9">
        <w:rPr>
          <w:rFonts w:eastAsia="Calibri"/>
        </w:rPr>
        <w:t>)</w:t>
      </w:r>
      <w:r w:rsidRPr="004334E9">
        <w:rPr>
          <w:rFonts w:eastAsia="Calibri"/>
          <w:bCs/>
        </w:rPr>
        <w:t xml:space="preserve"> </w:t>
      </w:r>
      <w:r w:rsidRPr="003C694D">
        <w:rPr>
          <w:rFonts w:eastAsia="Calibri"/>
          <w:bCs/>
        </w:rPr>
        <w:t xml:space="preserve">и се формират основно от приходи от държавни, общински и съдебни такси, приходи и доходи от собственост, приходи от концесии, приходи от </w:t>
      </w:r>
      <w:r w:rsidRPr="001705B0">
        <w:rPr>
          <w:rFonts w:eastAsia="Calibri"/>
          <w:bCs/>
        </w:rPr>
        <w:t>продажба на квоти за емисии на парникови газове и други</w:t>
      </w:r>
      <w:r w:rsidRPr="001705B0">
        <w:rPr>
          <w:rFonts w:eastAsia="Calibri"/>
        </w:rPr>
        <w:t>.</w:t>
      </w:r>
      <w:r w:rsidRPr="001705B0">
        <w:rPr>
          <w:rFonts w:eastAsia="Calibri"/>
          <w:lang w:val="ru-RU"/>
        </w:rPr>
        <w:t xml:space="preserve"> </w:t>
      </w:r>
      <w:r w:rsidR="008B16CD" w:rsidRPr="001675F3">
        <w:rPr>
          <w:rFonts w:eastAsia="Calibri"/>
          <w:lang w:val="ru-RU"/>
        </w:rPr>
        <w:t xml:space="preserve">През месец юни постъпиха приходи </w:t>
      </w:r>
      <w:r w:rsidR="008B16CD" w:rsidRPr="007C5B22">
        <w:rPr>
          <w:rFonts w:eastAsia="Calibri"/>
          <w:lang w:val="ru-RU"/>
        </w:rPr>
        <w:t>(</w:t>
      </w:r>
      <w:r w:rsidR="008B16CD" w:rsidRPr="001675F3">
        <w:rPr>
          <w:rFonts w:eastAsia="Calibri"/>
        </w:rPr>
        <w:t>в размер на 384,5</w:t>
      </w:r>
      <w:r w:rsidR="008B16CD">
        <w:rPr>
          <w:rFonts w:eastAsia="Calibri"/>
          <w:lang w:val="en-US"/>
        </w:rPr>
        <w:t> </w:t>
      </w:r>
      <w:r w:rsidR="008B16CD" w:rsidRPr="001675F3">
        <w:rPr>
          <w:rFonts w:eastAsia="Calibri"/>
        </w:rPr>
        <w:t>млн. лв.</w:t>
      </w:r>
      <w:r w:rsidR="008B16CD" w:rsidRPr="007C5B22">
        <w:rPr>
          <w:rFonts w:eastAsia="Calibri"/>
          <w:lang w:val="ru-RU"/>
        </w:rPr>
        <w:t xml:space="preserve">) </w:t>
      </w:r>
      <w:r w:rsidR="008B16CD" w:rsidRPr="001675F3">
        <w:rPr>
          <w:rFonts w:eastAsia="Calibri"/>
          <w:lang w:val="ru-RU"/>
        </w:rPr>
        <w:t xml:space="preserve">от Европейската </w:t>
      </w:r>
      <w:r w:rsidR="003352CE" w:rsidRPr="003352CE">
        <w:rPr>
          <w:rFonts w:eastAsia="Calibri"/>
          <w:lang w:val="ru-RU"/>
        </w:rPr>
        <w:t xml:space="preserve">инвестиционна </w:t>
      </w:r>
      <w:r w:rsidR="008B16CD" w:rsidRPr="001675F3">
        <w:rPr>
          <w:rFonts w:eastAsia="Calibri"/>
          <w:lang w:val="ru-RU"/>
        </w:rPr>
        <w:t>банка по проектите, финансирани от Модернизационния фонд. Подкрепените проекти са в областта на производството на електроенергия от възобновяеми източници, модернизацията на енергийните мрежи и енергийната ефективност. Получени са средства за финансиране на модернизирането на електроразпределителната мрежа в България с цел ускорена електрификация на транспорта, внедряване на решения за акумулиране, декарбонизация и децентрализация на потреблението и производството на електрическа енергия. Модернизационният фонд се финансира чрез постъпленията от търговете за квоти за емисии от схемата на ЕС за търговия с емисии, като неговата цел е да се подпомогне преходът към неутралност по отношение на климата в десет държави от ЕС с по-ниски доходи. Държавите бенефициери са България, Хърватия, Чехия, Естония, Унгария, Латвия, Литва, Полша, Румъния и Словакия</w:t>
      </w:r>
      <w:r w:rsidR="008B16CD" w:rsidRPr="001675F3">
        <w:rPr>
          <w:rFonts w:eastAsia="Calibri"/>
          <w:bCs/>
        </w:rPr>
        <w:t>. В частта на неданъчните приходи през юни са постъпили и 407,</w:t>
      </w:r>
      <w:r w:rsidR="008B16CD" w:rsidRPr="00B019A1">
        <w:rPr>
          <w:rFonts w:eastAsia="Calibri"/>
          <w:bCs/>
          <w:lang w:val="ru-RU"/>
        </w:rPr>
        <w:t>3</w:t>
      </w:r>
      <w:r w:rsidR="008B16CD" w:rsidRPr="001675F3">
        <w:rPr>
          <w:rFonts w:eastAsia="Calibri"/>
          <w:bCs/>
        </w:rPr>
        <w:t xml:space="preserve"> млн. лв. </w:t>
      </w:r>
      <w:r w:rsidR="008B16CD" w:rsidRPr="006F5035">
        <w:rPr>
          <w:rFonts w:eastAsia="Calibri"/>
          <w:bCs/>
        </w:rPr>
        <w:t>приходи от дивидент за държавата от държавни предприятия</w:t>
      </w:r>
      <w:r w:rsidRPr="0055349C">
        <w:rPr>
          <w:rFonts w:eastAsia="Calibri"/>
          <w:color w:val="0070C0"/>
        </w:rPr>
        <w:t>.</w:t>
      </w:r>
      <w:r w:rsidRPr="0055349C">
        <w:rPr>
          <w:color w:val="0070C0"/>
        </w:rPr>
        <w:t xml:space="preserve"> </w:t>
      </w:r>
    </w:p>
    <w:p w14:paraId="20D627CB" w14:textId="77777777" w:rsidR="0010424C" w:rsidRPr="00C85F4E" w:rsidRDefault="0010424C" w:rsidP="0010424C">
      <w:pPr>
        <w:spacing w:before="120" w:after="120"/>
        <w:jc w:val="both"/>
      </w:pPr>
      <w:r w:rsidRPr="00C85F4E">
        <w:t xml:space="preserve">Постъпленията от </w:t>
      </w:r>
      <w:r w:rsidRPr="00C85F4E">
        <w:rPr>
          <w:b/>
          <w:i/>
        </w:rPr>
        <w:t>помощи</w:t>
      </w:r>
      <w:r w:rsidRPr="00C85F4E">
        <w:t xml:space="preserve"> </w:t>
      </w:r>
      <w:r w:rsidRPr="00C85F4E">
        <w:rPr>
          <w:b/>
          <w:i/>
        </w:rPr>
        <w:t xml:space="preserve">и дарения </w:t>
      </w:r>
      <w:r w:rsidRPr="00C85F4E">
        <w:t xml:space="preserve">от страната и чужбина (основно помощи от фондовете на ЕС) към юни 2023 г. са в размер на </w:t>
      </w:r>
      <w:r w:rsidRPr="00C85F4E">
        <w:rPr>
          <w:b/>
          <w:i/>
        </w:rPr>
        <w:t>1 202,7 млн. лв</w:t>
      </w:r>
      <w:r w:rsidRPr="00C85F4E">
        <w:rPr>
          <w:i/>
        </w:rPr>
        <w:t>.</w:t>
      </w:r>
      <w:r w:rsidRPr="00C85F4E">
        <w:t xml:space="preserve">, като съпоставено със същия период на 2022 г. се отчита спад със 214,8 млн. лева. </w:t>
      </w:r>
    </w:p>
    <w:p w14:paraId="52C15862" w14:textId="67619DAA" w:rsidR="0010424C" w:rsidRPr="00752BF4" w:rsidRDefault="0010424C" w:rsidP="0010424C">
      <w:pPr>
        <w:pStyle w:val="ListParagraph"/>
        <w:numPr>
          <w:ilvl w:val="0"/>
          <w:numId w:val="24"/>
        </w:numPr>
        <w:tabs>
          <w:tab w:val="left" w:pos="426"/>
        </w:tabs>
        <w:spacing w:line="240" w:lineRule="auto"/>
        <w:ind w:left="0" w:firstLine="0"/>
        <w:rPr>
          <w:rFonts w:ascii="Times New Roman" w:eastAsia="Calibri" w:hAnsi="Times New Roman"/>
        </w:rPr>
      </w:pPr>
      <w:r w:rsidRPr="00752BF4">
        <w:rPr>
          <w:rFonts w:ascii="Times New Roman" w:eastAsia="Calibri" w:hAnsi="Times New Roman"/>
          <w:b/>
        </w:rPr>
        <w:t xml:space="preserve">Разходите </w:t>
      </w:r>
      <w:r w:rsidRPr="00752BF4">
        <w:rPr>
          <w:rFonts w:ascii="Times New Roman" w:eastAsia="Calibri" w:hAnsi="Times New Roman"/>
        </w:rPr>
        <w:t xml:space="preserve">по КФП (вкл. вноската на Република България в бюджета на ЕС) към юни 2023 г. възлизат на </w:t>
      </w:r>
      <w:r w:rsidRPr="00752BF4">
        <w:rPr>
          <w:rFonts w:ascii="Times New Roman" w:eastAsia="Calibri" w:hAnsi="Times New Roman"/>
          <w:b/>
        </w:rPr>
        <w:t xml:space="preserve">31 226,3 млн. лв. </w:t>
      </w:r>
      <w:r w:rsidRPr="00752BF4">
        <w:rPr>
          <w:rFonts w:ascii="Times New Roman" w:eastAsia="Calibri" w:hAnsi="Times New Roman"/>
        </w:rPr>
        <w:t xml:space="preserve">В номинално изражение разходите нарастват спрямо полугодието на 2022 г. с 4 154,4 млн. лв. (15,3 %). </w:t>
      </w:r>
      <w:r w:rsidR="007E5F7B">
        <w:rPr>
          <w:rFonts w:ascii="Times New Roman" w:eastAsia="Calibri" w:hAnsi="Times New Roman"/>
        </w:rPr>
        <w:t xml:space="preserve">При </w:t>
      </w:r>
      <w:r w:rsidRPr="00752BF4">
        <w:rPr>
          <w:rFonts w:ascii="Times New Roman" w:eastAsia="Calibri" w:hAnsi="Times New Roman"/>
        </w:rPr>
        <w:t>отделните разходни показатели най-значително нарастване има при разходите за пенсии</w:t>
      </w:r>
      <w:r w:rsidRPr="00752BF4">
        <w:rPr>
          <w:rFonts w:ascii="Times New Roman" w:eastAsia="Calibri" w:hAnsi="Times New Roman"/>
          <w:lang w:val="ru-RU"/>
        </w:rPr>
        <w:t xml:space="preserve"> (</w:t>
      </w:r>
      <w:r w:rsidRPr="00B019A1">
        <w:rPr>
          <w:rFonts w:ascii="Times New Roman" w:eastAsia="Calibri" w:hAnsi="Times New Roman"/>
          <w:lang w:val="ru-RU"/>
        </w:rPr>
        <w:t>2</w:t>
      </w:r>
      <w:r w:rsidRPr="00752BF4">
        <w:rPr>
          <w:rFonts w:ascii="Times New Roman" w:eastAsia="Calibri" w:hAnsi="Times New Roman"/>
          <w:lang w:val="en-US"/>
        </w:rPr>
        <w:t> </w:t>
      </w:r>
      <w:r w:rsidRPr="00B019A1">
        <w:rPr>
          <w:rFonts w:ascii="Times New Roman" w:eastAsia="Calibri" w:hAnsi="Times New Roman"/>
          <w:lang w:val="ru-RU"/>
        </w:rPr>
        <w:t>081</w:t>
      </w:r>
      <w:r w:rsidRPr="00752BF4">
        <w:rPr>
          <w:rFonts w:ascii="Times New Roman" w:eastAsia="Calibri" w:hAnsi="Times New Roman"/>
        </w:rPr>
        <w:t>,1</w:t>
      </w:r>
      <w:r w:rsidRPr="00752BF4">
        <w:rPr>
          <w:rFonts w:ascii="Times New Roman" w:eastAsia="Calibri" w:hAnsi="Times New Roman"/>
          <w:lang w:val="ru-RU"/>
        </w:rPr>
        <w:t xml:space="preserve"> </w:t>
      </w:r>
      <w:r w:rsidRPr="00752BF4">
        <w:rPr>
          <w:rFonts w:ascii="Times New Roman" w:eastAsia="Calibri" w:hAnsi="Times New Roman"/>
        </w:rPr>
        <w:t>млн. лв.</w:t>
      </w:r>
      <w:r w:rsidRPr="00752BF4">
        <w:rPr>
          <w:rFonts w:ascii="Times New Roman" w:eastAsia="Calibri" w:hAnsi="Times New Roman"/>
          <w:lang w:val="ru-RU"/>
        </w:rPr>
        <w:t>)</w:t>
      </w:r>
      <w:r w:rsidRPr="00752BF4">
        <w:rPr>
          <w:rFonts w:ascii="Times New Roman" w:eastAsia="Calibri" w:hAnsi="Times New Roman"/>
        </w:rPr>
        <w:t xml:space="preserve">, както и в частта на разходите за персонал </w:t>
      </w:r>
      <w:r w:rsidRPr="00752BF4">
        <w:rPr>
          <w:rFonts w:ascii="Times New Roman" w:eastAsia="Calibri" w:hAnsi="Times New Roman"/>
          <w:lang w:val="ru-RU"/>
        </w:rPr>
        <w:t xml:space="preserve">(1 044,8 </w:t>
      </w:r>
      <w:r w:rsidRPr="00752BF4">
        <w:rPr>
          <w:rFonts w:ascii="Times New Roman" w:eastAsia="Calibri" w:hAnsi="Times New Roman"/>
        </w:rPr>
        <w:t>млн. лв.</w:t>
      </w:r>
      <w:r w:rsidRPr="00752BF4">
        <w:rPr>
          <w:rFonts w:ascii="Times New Roman" w:eastAsia="Calibri" w:hAnsi="Times New Roman"/>
          <w:lang w:val="ru-RU"/>
        </w:rPr>
        <w:t>)</w:t>
      </w:r>
      <w:r w:rsidRPr="00752BF4">
        <w:rPr>
          <w:rFonts w:ascii="Times New Roman" w:eastAsia="Calibri" w:hAnsi="Times New Roman"/>
        </w:rPr>
        <w:t xml:space="preserve">, </w:t>
      </w:r>
      <w:r w:rsidRPr="00752BF4">
        <w:rPr>
          <w:rFonts w:ascii="Times New Roman" w:eastAsia="Calibri" w:hAnsi="Times New Roman"/>
          <w:bCs/>
          <w:lang w:val="ru-RU"/>
        </w:rPr>
        <w:t xml:space="preserve">капиталовите разходи (673,4 млн. лв.) </w:t>
      </w:r>
      <w:r w:rsidRPr="00752BF4">
        <w:rPr>
          <w:rFonts w:ascii="Times New Roman" w:eastAsia="Calibri" w:hAnsi="Times New Roman"/>
        </w:rPr>
        <w:t>и други. Ръстът на разходите се дължи на влезли в сила нормативни актове, вкл. промени в пенсионната сфера, разплащане на задължения по бюджета на МРРБ, влезли в сила увеличени размери на възнагражденията в редица администрации и други.</w:t>
      </w:r>
    </w:p>
    <w:p w14:paraId="5E6885EF" w14:textId="27313932" w:rsidR="0010424C" w:rsidRPr="0055349C" w:rsidRDefault="0010424C" w:rsidP="0010424C">
      <w:pPr>
        <w:spacing w:before="120" w:after="120"/>
        <w:jc w:val="both"/>
        <w:rPr>
          <w:color w:val="0070C0"/>
        </w:rPr>
      </w:pPr>
      <w:r w:rsidRPr="00D72829">
        <w:rPr>
          <w:b/>
          <w:i/>
        </w:rPr>
        <w:t>Нелихвените разходи</w:t>
      </w:r>
      <w:r w:rsidRPr="00D72829">
        <w:t xml:space="preserve"> към юни 2023 г. са в размер на </w:t>
      </w:r>
      <w:r w:rsidRPr="00D72829">
        <w:rPr>
          <w:lang w:val="ru-RU"/>
        </w:rPr>
        <w:t>30 029,0</w:t>
      </w:r>
      <w:r w:rsidRPr="00D72829">
        <w:t xml:space="preserve"> млн. лв.</w:t>
      </w:r>
      <w:r w:rsidRPr="00D72829">
        <w:rPr>
          <w:rFonts w:eastAsia="Calibri"/>
          <w:bCs/>
        </w:rPr>
        <w:t xml:space="preserve">, като нарастват с </w:t>
      </w:r>
      <w:r w:rsidRPr="00D72829">
        <w:rPr>
          <w:rFonts w:eastAsia="Calibri"/>
          <w:bCs/>
          <w:lang w:val="ru-RU"/>
        </w:rPr>
        <w:t>4 158</w:t>
      </w:r>
      <w:r w:rsidRPr="00D72829">
        <w:rPr>
          <w:rFonts w:eastAsia="Calibri"/>
          <w:bCs/>
        </w:rPr>
        <w:t>,5</w:t>
      </w:r>
      <w:r w:rsidR="00703732">
        <w:rPr>
          <w:rFonts w:eastAsia="Calibri"/>
          <w:bCs/>
        </w:rPr>
        <w:t> </w:t>
      </w:r>
      <w:r w:rsidRPr="00547F85">
        <w:rPr>
          <w:rFonts w:eastAsia="Calibri"/>
          <w:bCs/>
        </w:rPr>
        <w:t xml:space="preserve">млн. лв. </w:t>
      </w:r>
      <w:r w:rsidRPr="00547F85">
        <w:rPr>
          <w:rFonts w:eastAsia="Calibri"/>
          <w:bCs/>
          <w:lang w:val="ru-RU"/>
        </w:rPr>
        <w:t>(</w:t>
      </w:r>
      <w:r w:rsidRPr="00547F85">
        <w:rPr>
          <w:rFonts w:eastAsia="Calibri"/>
          <w:bCs/>
        </w:rPr>
        <w:t xml:space="preserve">16,1 </w:t>
      </w:r>
      <w:r w:rsidRPr="00547F85">
        <w:rPr>
          <w:rFonts w:eastAsia="Calibri"/>
          <w:bCs/>
          <w:lang w:val="ru-RU"/>
        </w:rPr>
        <w:t xml:space="preserve">%) </w:t>
      </w:r>
      <w:r w:rsidRPr="00547F85">
        <w:rPr>
          <w:rFonts w:eastAsia="Calibri"/>
          <w:bCs/>
        </w:rPr>
        <w:t>спрямо отчетените към юни 2022 г.</w:t>
      </w:r>
      <w:r w:rsidRPr="00547F85">
        <w:t xml:space="preserve"> </w:t>
      </w:r>
      <w:r w:rsidRPr="00547F85">
        <w:rPr>
          <w:i/>
        </w:rPr>
        <w:t>Текущите нелихвени разходи</w:t>
      </w:r>
      <w:r w:rsidRPr="00547F85">
        <w:t xml:space="preserve"> са в размер на 27 820,5 млн. лв. </w:t>
      </w:r>
      <w:r w:rsidRPr="00547F85">
        <w:rPr>
          <w:i/>
        </w:rPr>
        <w:t>Капиталовите разходи</w:t>
      </w:r>
      <w:r w:rsidRPr="00547F85">
        <w:t xml:space="preserve"> (вкл. нетния прираст на държавния резерв) възлизат на 2 175,1 млн. лв. </w:t>
      </w:r>
      <w:r w:rsidRPr="00547F85">
        <w:rPr>
          <w:i/>
        </w:rPr>
        <w:t>Предоставените текущи и капиталови трансфери за чужбина</w:t>
      </w:r>
      <w:r w:rsidRPr="00547F85">
        <w:t xml:space="preserve"> са в размер на 33,5 млн. лв. </w:t>
      </w:r>
      <w:r w:rsidRPr="00547F85">
        <w:rPr>
          <w:b/>
          <w:i/>
        </w:rPr>
        <w:t>Лихвените плащания</w:t>
      </w:r>
      <w:r w:rsidRPr="00547F85">
        <w:t xml:space="preserve"> са в размер на 349,7 млн. лв., което е намаление от</w:t>
      </w:r>
      <w:r w:rsidR="0093163C">
        <w:rPr>
          <w:rFonts w:eastAsia="Calibri"/>
          <w:bCs/>
        </w:rPr>
        <w:t xml:space="preserve"> 39,0 млн. лв. </w:t>
      </w:r>
      <w:r w:rsidR="0093163C" w:rsidRPr="003656D3">
        <w:rPr>
          <w:rFonts w:eastAsia="Calibri"/>
          <w:bCs/>
        </w:rPr>
        <w:t>(10,0 на сто) спрямо отчетените към юни 2022 г</w:t>
      </w:r>
      <w:r w:rsidRPr="0055349C">
        <w:rPr>
          <w:rFonts w:eastAsia="Calibri"/>
          <w:bCs/>
          <w:color w:val="0070C0"/>
        </w:rPr>
        <w:t>.</w:t>
      </w:r>
    </w:p>
    <w:p w14:paraId="6AE715F6" w14:textId="77777777" w:rsidR="0010424C" w:rsidRPr="00947E1D" w:rsidRDefault="0010424C" w:rsidP="0010424C">
      <w:pPr>
        <w:pStyle w:val="ListParagraph"/>
        <w:numPr>
          <w:ilvl w:val="0"/>
          <w:numId w:val="24"/>
        </w:numPr>
        <w:tabs>
          <w:tab w:val="left" w:pos="426"/>
        </w:tabs>
        <w:spacing w:before="120" w:line="240" w:lineRule="auto"/>
        <w:ind w:left="0" w:firstLine="0"/>
        <w:contextualSpacing w:val="0"/>
        <w:rPr>
          <w:rFonts w:ascii="Times New Roman" w:hAnsi="Times New Roman"/>
        </w:rPr>
      </w:pPr>
      <w:r w:rsidRPr="00947E1D">
        <w:rPr>
          <w:rFonts w:ascii="Times New Roman" w:hAnsi="Times New Roman"/>
          <w:b/>
        </w:rPr>
        <w:t>Частта от вноската на Република България в общия бюджет на ЕС</w:t>
      </w:r>
      <w:r w:rsidRPr="00947E1D">
        <w:rPr>
          <w:rFonts w:ascii="Times New Roman" w:hAnsi="Times New Roman"/>
        </w:rPr>
        <w:t>, изплатена към 30.06.2023</w:t>
      </w:r>
      <w:r w:rsidRPr="00947E1D">
        <w:rPr>
          <w:rFonts w:ascii="Times New Roman" w:hAnsi="Times New Roman"/>
          <w:lang w:val="en-US"/>
        </w:rPr>
        <w:t> </w:t>
      </w:r>
      <w:r w:rsidRPr="00947E1D">
        <w:rPr>
          <w:rFonts w:ascii="Times New Roman" w:hAnsi="Times New Roman"/>
        </w:rPr>
        <w:t xml:space="preserve">г. от централния бюджет, възлиза на </w:t>
      </w:r>
      <w:r w:rsidRPr="00947E1D">
        <w:rPr>
          <w:rFonts w:ascii="Times New Roman" w:hAnsi="Times New Roman"/>
          <w:b/>
          <w:bCs/>
          <w:lang w:val="ru-RU"/>
        </w:rPr>
        <w:t xml:space="preserve">847,6 </w:t>
      </w:r>
      <w:r w:rsidRPr="00947E1D">
        <w:rPr>
          <w:rFonts w:ascii="Times New Roman" w:hAnsi="Times New Roman"/>
          <w:b/>
        </w:rPr>
        <w:t>млн. лв.</w:t>
      </w:r>
      <w:r w:rsidRPr="00947E1D">
        <w:rPr>
          <w:rFonts w:ascii="Times New Roman" w:hAnsi="Times New Roman"/>
        </w:rPr>
        <w:t xml:space="preserve">, </w:t>
      </w:r>
      <w:r w:rsidRPr="00947E1D">
        <w:rPr>
          <w:rFonts w:ascii="Times New Roman" w:eastAsia="Calibri" w:hAnsi="Times New Roman"/>
        </w:rPr>
        <w:t>което е в изпълнение на действащото към момента законодателство в областта на собствените ресурси на ЕС</w:t>
      </w:r>
      <w:r w:rsidRPr="00947E1D">
        <w:rPr>
          <w:rFonts w:ascii="Times New Roman" w:hAnsi="Times New Roman"/>
        </w:rPr>
        <w:t xml:space="preserve">. </w:t>
      </w:r>
    </w:p>
    <w:p w14:paraId="3E426D09" w14:textId="1110AFE4" w:rsidR="0010424C" w:rsidRPr="00E57481" w:rsidRDefault="0010424C" w:rsidP="0010424C">
      <w:pPr>
        <w:pStyle w:val="ListParagraph"/>
        <w:numPr>
          <w:ilvl w:val="0"/>
          <w:numId w:val="24"/>
        </w:numPr>
        <w:tabs>
          <w:tab w:val="left" w:pos="426"/>
        </w:tabs>
        <w:spacing w:line="240" w:lineRule="auto"/>
        <w:ind w:left="0" w:firstLine="0"/>
        <w:rPr>
          <w:rFonts w:ascii="Times New Roman" w:hAnsi="Times New Roman"/>
        </w:rPr>
      </w:pPr>
      <w:r w:rsidRPr="00984A32">
        <w:rPr>
          <w:rFonts w:ascii="Times New Roman" w:hAnsi="Times New Roman"/>
          <w:b/>
        </w:rPr>
        <w:t xml:space="preserve">Бюджетното салдо </w:t>
      </w:r>
      <w:r w:rsidRPr="00984A32">
        <w:rPr>
          <w:rFonts w:ascii="Times New Roman" w:hAnsi="Times New Roman"/>
        </w:rPr>
        <w:t>по консолидираната фискална програма към юни 2023</w:t>
      </w:r>
      <w:r w:rsidRPr="00984A32">
        <w:rPr>
          <w:rFonts w:ascii="Times New Roman" w:hAnsi="Times New Roman"/>
          <w:bCs/>
        </w:rPr>
        <w:t xml:space="preserve"> г. е </w:t>
      </w:r>
      <w:r w:rsidRPr="00984A32">
        <w:rPr>
          <w:rFonts w:ascii="Times New Roman" w:hAnsi="Times New Roman"/>
          <w:b/>
          <w:bCs/>
        </w:rPr>
        <w:t xml:space="preserve">положително </w:t>
      </w:r>
      <w:r w:rsidRPr="00984A32">
        <w:rPr>
          <w:rFonts w:ascii="Times New Roman" w:hAnsi="Times New Roman"/>
          <w:bCs/>
        </w:rPr>
        <w:t xml:space="preserve">в размер на </w:t>
      </w:r>
      <w:r w:rsidRPr="00984A32">
        <w:rPr>
          <w:rFonts w:ascii="Times New Roman" w:hAnsi="Times New Roman"/>
          <w:b/>
          <w:bCs/>
          <w:lang w:val="ru-RU"/>
        </w:rPr>
        <w:t>177,7</w:t>
      </w:r>
      <w:r w:rsidRPr="00984A32">
        <w:rPr>
          <w:rFonts w:ascii="Times New Roman" w:hAnsi="Times New Roman"/>
          <w:b/>
          <w:bCs/>
        </w:rPr>
        <w:t xml:space="preserve"> </w:t>
      </w:r>
      <w:r w:rsidRPr="00984A32">
        <w:rPr>
          <w:rFonts w:ascii="Times New Roman" w:hAnsi="Times New Roman"/>
          <w:b/>
        </w:rPr>
        <w:t>млн. лв.</w:t>
      </w:r>
      <w:r w:rsidRPr="00984A32">
        <w:rPr>
          <w:rFonts w:ascii="Times New Roman" w:hAnsi="Times New Roman"/>
        </w:rPr>
        <w:t xml:space="preserve"> (0,</w:t>
      </w:r>
      <w:r w:rsidRPr="00984A32">
        <w:rPr>
          <w:rFonts w:ascii="Times New Roman" w:hAnsi="Times New Roman"/>
          <w:lang w:val="ru-RU"/>
        </w:rPr>
        <w:t>1</w:t>
      </w:r>
      <w:r w:rsidRPr="00984A32">
        <w:rPr>
          <w:rFonts w:ascii="Times New Roman" w:hAnsi="Times New Roman"/>
        </w:rPr>
        <w:t xml:space="preserve"> % от прогнозния БВП) и се формира от превишение на приходите над разходите по националния бюджет в размер на 167,4 млн. лв. и </w:t>
      </w:r>
      <w:r w:rsidRPr="00984A32">
        <w:rPr>
          <w:rFonts w:ascii="Times New Roman" w:hAnsi="Times New Roman"/>
          <w:bCs/>
        </w:rPr>
        <w:t>по европейските средства в размер на 10,2 млн. лева</w:t>
      </w:r>
      <w:r w:rsidRPr="00E57481">
        <w:rPr>
          <w:rFonts w:ascii="Times New Roman" w:hAnsi="Times New Roman"/>
          <w:bCs/>
        </w:rPr>
        <w:t>.</w:t>
      </w:r>
      <w:r w:rsidRPr="00E57481">
        <w:rPr>
          <w:rFonts w:ascii="Times New Roman" w:hAnsi="Times New Roman"/>
        </w:rPr>
        <w:t xml:space="preserve"> </w:t>
      </w:r>
      <w:r w:rsidR="00E57481" w:rsidRPr="00E57481">
        <w:rPr>
          <w:rFonts w:ascii="Times New Roman" w:hAnsi="Times New Roman"/>
        </w:rPr>
        <w:t>Подобрението на бюджетната позиция през юни е основно по линия на приходите, което се дължи, от една страна, на по-високите постъпления във връзка с крайния срок (30 юни) за подаване на годишната данъчна декларация за 2022 г. по Закона за корпоративното подоходно облагане, съответно и за внасяне на корпоративния данък и на алтернативните данъци по ЗКПО, и от друга, на постъпили</w:t>
      </w:r>
      <w:r w:rsidR="0005066A">
        <w:rPr>
          <w:rFonts w:ascii="Times New Roman" w:hAnsi="Times New Roman"/>
        </w:rPr>
        <w:t xml:space="preserve"> неданъчни</w:t>
      </w:r>
      <w:r w:rsidR="00E57481" w:rsidRPr="00E57481">
        <w:rPr>
          <w:rFonts w:ascii="Times New Roman" w:hAnsi="Times New Roman"/>
        </w:rPr>
        <w:t xml:space="preserve"> приходи от Е</w:t>
      </w:r>
      <w:r w:rsidR="0005066A">
        <w:rPr>
          <w:rFonts w:ascii="Times New Roman" w:hAnsi="Times New Roman"/>
        </w:rPr>
        <w:t xml:space="preserve">вропейската инвестиционна банка, </w:t>
      </w:r>
      <w:r w:rsidR="00E57481" w:rsidRPr="00E57481">
        <w:rPr>
          <w:rFonts w:ascii="Times New Roman" w:hAnsi="Times New Roman"/>
        </w:rPr>
        <w:t xml:space="preserve">формирани от отчисления от търгове на квоти </w:t>
      </w:r>
      <w:r w:rsidR="0005066A">
        <w:rPr>
          <w:rFonts w:ascii="Times New Roman" w:hAnsi="Times New Roman"/>
        </w:rPr>
        <w:t>за емисии парникови газове за финансиране на проекти от Модернизационния фонд,</w:t>
      </w:r>
      <w:r w:rsidR="00E57481" w:rsidRPr="00E57481">
        <w:rPr>
          <w:rFonts w:ascii="Times New Roman" w:hAnsi="Times New Roman"/>
        </w:rPr>
        <w:t xml:space="preserve"> постъпили приходи от дивидент за държавата от държавни предприятия и други. По този начин формираният дефицит за първите пет месеца на годината бе изцяло компенсиран през месец юни и бюджетното салдо по КФП към края на полугодието е положително</w:t>
      </w:r>
      <w:r w:rsidRPr="00E57481">
        <w:rPr>
          <w:rFonts w:ascii="Times New Roman" w:eastAsia="Calibri" w:hAnsi="Times New Roman"/>
        </w:rPr>
        <w:t>.</w:t>
      </w:r>
    </w:p>
    <w:p w14:paraId="155DD70D" w14:textId="77777777" w:rsidR="0010424C" w:rsidRPr="00D7239B" w:rsidRDefault="0010424C" w:rsidP="0010424C">
      <w:pPr>
        <w:numPr>
          <w:ilvl w:val="0"/>
          <w:numId w:val="8"/>
        </w:numPr>
        <w:tabs>
          <w:tab w:val="num" w:pos="0"/>
          <w:tab w:val="left" w:pos="426"/>
          <w:tab w:val="left" w:pos="720"/>
        </w:tabs>
        <w:spacing w:before="120" w:after="60"/>
        <w:ind w:left="0" w:firstLine="0"/>
        <w:jc w:val="both"/>
        <w:rPr>
          <w:sz w:val="22"/>
        </w:rPr>
      </w:pPr>
      <w:r w:rsidRPr="00D7239B">
        <w:rPr>
          <w:b/>
          <w:szCs w:val="28"/>
        </w:rPr>
        <w:t>Общият размер</w:t>
      </w:r>
      <w:r w:rsidRPr="00D7239B">
        <w:rPr>
          <w:bCs/>
          <w:sz w:val="22"/>
        </w:rPr>
        <w:t xml:space="preserve"> </w:t>
      </w:r>
      <w:r w:rsidRPr="00D7239B">
        <w:rPr>
          <w:b/>
          <w:bCs/>
          <w:szCs w:val="28"/>
        </w:rPr>
        <w:t>на касовите постъпления от ЕС</w:t>
      </w:r>
      <w:r w:rsidRPr="00D7239B">
        <w:rPr>
          <w:bCs/>
          <w:szCs w:val="28"/>
        </w:rPr>
        <w:t xml:space="preserve"> (от Структурните и Кохезионния фондове, от</w:t>
      </w:r>
      <w:r w:rsidRPr="00D7239B">
        <w:rPr>
          <w:szCs w:val="28"/>
        </w:rPr>
        <w:t xml:space="preserve"> ЕЗФРСР и ЕФМДР</w:t>
      </w:r>
      <w:r w:rsidRPr="00D7239B">
        <w:rPr>
          <w:bCs/>
          <w:szCs w:val="28"/>
        </w:rPr>
        <w:t xml:space="preserve">, от средства за директни плащания към земеделските производители и плащания по пазарни мерки и др.) за </w:t>
      </w:r>
      <w:r w:rsidRPr="00D7239B">
        <w:t xml:space="preserve">първото полугодие </w:t>
      </w:r>
      <w:r w:rsidRPr="00D7239B">
        <w:rPr>
          <w:szCs w:val="28"/>
        </w:rPr>
        <w:t>на 2023</w:t>
      </w:r>
      <w:r w:rsidRPr="00D7239B">
        <w:rPr>
          <w:bCs/>
          <w:szCs w:val="28"/>
        </w:rPr>
        <w:t xml:space="preserve"> г. е </w:t>
      </w:r>
      <w:r w:rsidRPr="00D7239B">
        <w:rPr>
          <w:b/>
          <w:bCs/>
          <w:szCs w:val="28"/>
        </w:rPr>
        <w:t>2 767,6 млн. лв.</w:t>
      </w:r>
      <w:r w:rsidRPr="00D7239B">
        <w:rPr>
          <w:b/>
          <w:szCs w:val="28"/>
        </w:rPr>
        <w:t xml:space="preserve"> </w:t>
      </w:r>
      <w:r w:rsidRPr="00D7239B">
        <w:rPr>
          <w:b/>
          <w:bCs/>
          <w:szCs w:val="28"/>
        </w:rPr>
        <w:t xml:space="preserve">Нетните постъпления от ЕС към 30.06.2023 г. </w:t>
      </w:r>
      <w:r w:rsidRPr="00D7239B">
        <w:rPr>
          <w:bCs/>
          <w:szCs w:val="28"/>
        </w:rPr>
        <w:t xml:space="preserve">(касови постъпления от ЕС, намалени с вноската в общия бюджет на ЕС) са положителни в размер на </w:t>
      </w:r>
      <w:r w:rsidRPr="00D7239B">
        <w:rPr>
          <w:b/>
          <w:bCs/>
          <w:szCs w:val="28"/>
        </w:rPr>
        <w:t>1 920,0 млн. лева</w:t>
      </w:r>
      <w:r w:rsidRPr="00D7239B">
        <w:rPr>
          <w:sz w:val="22"/>
        </w:rPr>
        <w:t>.</w:t>
      </w:r>
    </w:p>
    <w:p w14:paraId="4C0FCCF6" w14:textId="77777777" w:rsidR="0010424C" w:rsidRPr="0094478D" w:rsidRDefault="0010424C" w:rsidP="0010424C">
      <w:pPr>
        <w:numPr>
          <w:ilvl w:val="2"/>
          <w:numId w:val="14"/>
        </w:numPr>
        <w:tabs>
          <w:tab w:val="left" w:pos="426"/>
        </w:tabs>
        <w:spacing w:before="120" w:after="240"/>
        <w:ind w:left="0" w:firstLine="0"/>
        <w:jc w:val="both"/>
        <w:rPr>
          <w:sz w:val="8"/>
          <w:szCs w:val="8"/>
        </w:rPr>
      </w:pPr>
      <w:r w:rsidRPr="0094478D">
        <w:rPr>
          <w:b/>
        </w:rPr>
        <w:t>Фискалният резерв</w:t>
      </w:r>
      <w:r w:rsidRPr="0094478D">
        <w:rPr>
          <w:b/>
          <w:bCs/>
          <w:vertAlign w:val="superscript"/>
          <w:lang w:eastAsia="bg-BG"/>
        </w:rPr>
        <w:footnoteReference w:id="6"/>
      </w:r>
      <w:r w:rsidRPr="0094478D">
        <w:rPr>
          <w:bCs/>
          <w:lang w:eastAsia="bg-BG"/>
        </w:rPr>
        <w:t xml:space="preserve"> </w:t>
      </w:r>
      <w:r w:rsidRPr="0094478D">
        <w:rPr>
          <w:bCs/>
        </w:rPr>
        <w:t>към 30.06.2023</w:t>
      </w:r>
      <w:r w:rsidRPr="0094478D">
        <w:rPr>
          <w:rFonts w:eastAsia="Calibri"/>
        </w:rPr>
        <w:t xml:space="preserve"> г. </w:t>
      </w:r>
      <w:r w:rsidRPr="0094478D">
        <w:rPr>
          <w:bCs/>
        </w:rPr>
        <w:t xml:space="preserve">е </w:t>
      </w:r>
      <w:r w:rsidRPr="0094478D">
        <w:rPr>
          <w:b/>
          <w:bCs/>
        </w:rPr>
        <w:t>12,9 млрд. лв</w:t>
      </w:r>
      <w:r w:rsidRPr="0094478D">
        <w:rPr>
          <w:bCs/>
        </w:rPr>
        <w:t>., в т.ч. 12,5 млрд. лв. депозити на фискалния резерв в БНБ и банки и 0,4 млрд. лв. вземания от фондовете на Европейския съюз за сертифицирани разходи, аванси и други</w:t>
      </w:r>
      <w:r w:rsidRPr="0094478D">
        <w:rPr>
          <w:bCs/>
          <w:lang w:eastAsia="bg-BG"/>
        </w:rPr>
        <w:t>.</w:t>
      </w:r>
      <w:r w:rsidRPr="0094478D">
        <w:rPr>
          <w:bCs/>
        </w:rPr>
        <w:t xml:space="preserve"> </w:t>
      </w:r>
    </w:p>
    <w:p w14:paraId="7C4A6F2B" w14:textId="77777777" w:rsidR="00222173" w:rsidRPr="0055349C" w:rsidRDefault="00222173" w:rsidP="00222173">
      <w:pPr>
        <w:tabs>
          <w:tab w:val="left" w:pos="426"/>
        </w:tabs>
        <w:spacing w:before="120" w:after="120"/>
        <w:jc w:val="both"/>
        <w:rPr>
          <w:color w:val="0070C0"/>
          <w:sz w:val="8"/>
          <w:szCs w:val="8"/>
        </w:rPr>
      </w:pPr>
    </w:p>
    <w:p w14:paraId="4E97B217" w14:textId="77777777" w:rsidR="00222173" w:rsidRPr="0055349C" w:rsidRDefault="00222173" w:rsidP="00222173">
      <w:pPr>
        <w:tabs>
          <w:tab w:val="left" w:pos="426"/>
        </w:tabs>
        <w:spacing w:before="120" w:after="120"/>
        <w:jc w:val="both"/>
        <w:rPr>
          <w:color w:val="0070C0"/>
          <w:sz w:val="8"/>
          <w:szCs w:val="8"/>
        </w:rPr>
      </w:pPr>
    </w:p>
    <w:p w14:paraId="34001E21" w14:textId="77777777" w:rsidR="00222173" w:rsidRPr="0055349C" w:rsidRDefault="00222173" w:rsidP="00222173">
      <w:pPr>
        <w:rPr>
          <w:color w:val="0070C0"/>
          <w:sz w:val="8"/>
          <w:szCs w:val="8"/>
        </w:rPr>
      </w:pPr>
      <w:r w:rsidRPr="0055349C">
        <w:rPr>
          <w:color w:val="0070C0"/>
          <w:sz w:val="8"/>
          <w:szCs w:val="8"/>
        </w:rPr>
        <w:br w:type="page"/>
      </w:r>
    </w:p>
    <w:p w14:paraId="0390A219" w14:textId="7631D750" w:rsidR="00222173" w:rsidRPr="00691C48" w:rsidRDefault="00222173" w:rsidP="00691C48">
      <w:pPr>
        <w:keepNext/>
        <w:numPr>
          <w:ilvl w:val="0"/>
          <w:numId w:val="9"/>
        </w:numPr>
        <w:ind w:right="-108"/>
        <w:jc w:val="both"/>
        <w:outlineLvl w:val="0"/>
        <w:rPr>
          <w:b/>
          <w:bCs/>
        </w:rPr>
      </w:pPr>
      <w:r w:rsidRPr="00691C48">
        <w:rPr>
          <w:b/>
          <w:bCs/>
        </w:rPr>
        <w:t>Изпълнение на държавния бюджет</w:t>
      </w:r>
      <w:r w:rsidRPr="00691C48">
        <w:rPr>
          <w:b/>
          <w:sz w:val="20"/>
          <w:szCs w:val="20"/>
          <w:vertAlign w:val="superscript"/>
        </w:rPr>
        <w:footnoteReference w:id="7"/>
      </w:r>
      <w:r w:rsidRPr="00691C48">
        <w:rPr>
          <w:b/>
          <w:bCs/>
        </w:rPr>
        <w:t xml:space="preserve"> за </w:t>
      </w:r>
      <w:r w:rsidR="00E90B5E" w:rsidRPr="00691C48">
        <w:rPr>
          <w:b/>
          <w:bCs/>
        </w:rPr>
        <w:t xml:space="preserve">първото </w:t>
      </w:r>
      <w:r w:rsidR="00691C48" w:rsidRPr="00691C48">
        <w:rPr>
          <w:b/>
          <w:bCs/>
        </w:rPr>
        <w:t xml:space="preserve">полугодие </w:t>
      </w:r>
      <w:r w:rsidRPr="00691C48">
        <w:rPr>
          <w:b/>
          <w:bCs/>
        </w:rPr>
        <w:t>на 202</w:t>
      </w:r>
      <w:r w:rsidR="00E90B5E" w:rsidRPr="00691C48">
        <w:rPr>
          <w:b/>
          <w:bCs/>
        </w:rPr>
        <w:t>3</w:t>
      </w:r>
      <w:r w:rsidRPr="00691C48">
        <w:rPr>
          <w:b/>
          <w:bCs/>
        </w:rPr>
        <w:t xml:space="preserve"> г.</w:t>
      </w:r>
    </w:p>
    <w:p w14:paraId="452F7D7F" w14:textId="5F448179" w:rsidR="000B0BED" w:rsidRPr="00F159DC" w:rsidRDefault="000B0BED" w:rsidP="000B0BED">
      <w:pPr>
        <w:pStyle w:val="BodyTextIndent"/>
        <w:tabs>
          <w:tab w:val="left" w:pos="1080"/>
        </w:tabs>
        <w:spacing w:before="120" w:after="0"/>
        <w:ind w:left="0"/>
        <w:jc w:val="both"/>
      </w:pPr>
      <w:r w:rsidRPr="00F159DC">
        <w:t>Изпълнението на основните показатели по държавния бюджет на база месечните отчети на първостепенните разпоредители с бюджет е, както следва:</w:t>
      </w:r>
    </w:p>
    <w:p w14:paraId="49EE43B5" w14:textId="77777777" w:rsidR="000B0BED" w:rsidRPr="008C38D6" w:rsidRDefault="000B0BED" w:rsidP="000B0BED">
      <w:pPr>
        <w:pStyle w:val="BodyTextIndent"/>
        <w:tabs>
          <w:tab w:val="left" w:pos="1080"/>
        </w:tabs>
        <w:spacing w:before="120" w:after="0"/>
        <w:ind w:left="0"/>
        <w:jc w:val="both"/>
        <w:rPr>
          <w:color w:val="0070C0"/>
          <w:sz w:val="6"/>
        </w:rPr>
      </w:pPr>
    </w:p>
    <w:p w14:paraId="54A85709" w14:textId="77777777" w:rsidR="000B0BED" w:rsidRPr="008C38D6" w:rsidRDefault="000B0BED" w:rsidP="000B0BED">
      <w:pPr>
        <w:pStyle w:val="BodyTextIndent"/>
        <w:tabs>
          <w:tab w:val="left" w:pos="1080"/>
        </w:tabs>
        <w:spacing w:before="120" w:after="0"/>
        <w:ind w:left="0"/>
        <w:jc w:val="both"/>
        <w:rPr>
          <w:color w:val="0070C0"/>
          <w:sz w:val="6"/>
        </w:rPr>
      </w:pPr>
    </w:p>
    <w:p w14:paraId="591FDDC4" w14:textId="77777777" w:rsidR="000B0BED" w:rsidRPr="008C38D6" w:rsidRDefault="000B0BED" w:rsidP="000B0BED">
      <w:pPr>
        <w:pStyle w:val="BodyTextIndent"/>
        <w:tabs>
          <w:tab w:val="left" w:pos="1080"/>
        </w:tabs>
        <w:spacing w:before="120" w:after="0"/>
        <w:ind w:left="0"/>
        <w:jc w:val="both"/>
        <w:rPr>
          <w:color w:val="0070C0"/>
          <w:sz w:val="6"/>
        </w:rPr>
      </w:pPr>
    </w:p>
    <w:p w14:paraId="368B9ED1" w14:textId="77777777" w:rsidR="000B0BED" w:rsidRPr="00F159DC" w:rsidRDefault="000B0BED" w:rsidP="000B0BED">
      <w:pPr>
        <w:ind w:right="-242"/>
        <w:rPr>
          <w:b/>
          <w:bCs/>
          <w:sz w:val="20"/>
          <w:szCs w:val="20"/>
        </w:rPr>
      </w:pPr>
      <w:r w:rsidRPr="00F159DC">
        <w:rPr>
          <w:b/>
          <w:bCs/>
          <w:sz w:val="20"/>
          <w:szCs w:val="20"/>
        </w:rPr>
        <w:t xml:space="preserve">            Таблица</w:t>
      </w:r>
      <w:r w:rsidRPr="00F159DC">
        <w:rPr>
          <w:rStyle w:val="FootnoteReference"/>
        </w:rPr>
        <w:footnoteReference w:id="8"/>
      </w:r>
      <w:r w:rsidRPr="00F159DC">
        <w:rPr>
          <w:b/>
          <w:bCs/>
          <w:sz w:val="20"/>
          <w:szCs w:val="20"/>
        </w:rPr>
        <w:t xml:space="preserve">  №1      </w:t>
      </w:r>
      <w:r w:rsidRPr="00F159DC">
        <w:rPr>
          <w:b/>
          <w:bCs/>
          <w:sz w:val="20"/>
          <w:szCs w:val="20"/>
        </w:rPr>
        <w:tab/>
      </w:r>
      <w:r w:rsidRPr="00F159DC">
        <w:rPr>
          <w:b/>
          <w:bCs/>
          <w:sz w:val="20"/>
          <w:szCs w:val="20"/>
        </w:rPr>
        <w:tab/>
        <w:t xml:space="preserve">                                          </w:t>
      </w:r>
      <w:r w:rsidRPr="00F159DC">
        <w:rPr>
          <w:b/>
          <w:bCs/>
          <w:sz w:val="20"/>
          <w:szCs w:val="20"/>
        </w:rPr>
        <w:tab/>
      </w:r>
      <w:r w:rsidRPr="00F159DC">
        <w:rPr>
          <w:b/>
          <w:bCs/>
          <w:sz w:val="20"/>
          <w:szCs w:val="20"/>
        </w:rPr>
        <w:tab/>
      </w:r>
      <w:r w:rsidRPr="00F159DC">
        <w:rPr>
          <w:b/>
          <w:bCs/>
          <w:sz w:val="20"/>
          <w:szCs w:val="20"/>
        </w:rPr>
        <w:tab/>
      </w:r>
      <w:r w:rsidRPr="00F159DC">
        <w:rPr>
          <w:b/>
          <w:bCs/>
          <w:sz w:val="20"/>
          <w:szCs w:val="20"/>
        </w:rPr>
        <w:tab/>
        <w:t xml:space="preserve">  (млн. лв.)</w:t>
      </w:r>
    </w:p>
    <w:p w14:paraId="25588002" w14:textId="77777777" w:rsidR="000B0BED" w:rsidRPr="008C38D6" w:rsidRDefault="000B0BED" w:rsidP="000B0BED">
      <w:pPr>
        <w:ind w:right="-242"/>
        <w:rPr>
          <w:b/>
          <w:bCs/>
          <w:color w:val="0070C0"/>
          <w:sz w:val="6"/>
          <w:szCs w:val="6"/>
        </w:rPr>
      </w:pPr>
    </w:p>
    <w:tbl>
      <w:tblPr>
        <w:tblW w:w="9213" w:type="dxa"/>
        <w:jc w:val="center"/>
        <w:tblCellMar>
          <w:left w:w="70" w:type="dxa"/>
          <w:right w:w="70" w:type="dxa"/>
        </w:tblCellMar>
        <w:tblLook w:val="0000" w:firstRow="0" w:lastRow="0" w:firstColumn="0" w:lastColumn="0" w:noHBand="0" w:noVBand="0"/>
      </w:tblPr>
      <w:tblGrid>
        <w:gridCol w:w="4654"/>
        <w:gridCol w:w="1644"/>
        <w:gridCol w:w="1510"/>
        <w:gridCol w:w="1405"/>
      </w:tblGrid>
      <w:tr w:rsidR="000B0BED" w:rsidRPr="008C38D6" w14:paraId="07AC87B6" w14:textId="77777777" w:rsidTr="008E3CF5">
        <w:trPr>
          <w:trHeight w:val="520"/>
          <w:jc w:val="center"/>
        </w:trPr>
        <w:tc>
          <w:tcPr>
            <w:tcW w:w="4654" w:type="dxa"/>
            <w:tcBorders>
              <w:top w:val="single" w:sz="8" w:space="0" w:color="auto"/>
              <w:left w:val="single" w:sz="8" w:space="0" w:color="auto"/>
              <w:bottom w:val="nil"/>
              <w:right w:val="single" w:sz="8" w:space="0" w:color="auto"/>
            </w:tcBorders>
            <w:shd w:val="clear" w:color="auto" w:fill="auto"/>
            <w:noWrap/>
            <w:vAlign w:val="center"/>
          </w:tcPr>
          <w:p w14:paraId="4F339C86" w14:textId="77777777" w:rsidR="000B0BED" w:rsidRPr="00E875CF" w:rsidRDefault="000B0BED" w:rsidP="008E3CF5">
            <w:pPr>
              <w:jc w:val="center"/>
              <w:rPr>
                <w:b/>
                <w:bCs/>
                <w:sz w:val="18"/>
                <w:szCs w:val="18"/>
              </w:rPr>
            </w:pPr>
            <w:r w:rsidRPr="00E875CF">
              <w:rPr>
                <w:b/>
                <w:bCs/>
                <w:sz w:val="18"/>
                <w:szCs w:val="18"/>
              </w:rPr>
              <w:t>ПОКАЗАТЕЛИ</w:t>
            </w:r>
          </w:p>
        </w:tc>
        <w:tc>
          <w:tcPr>
            <w:tcW w:w="1644" w:type="dxa"/>
            <w:tcBorders>
              <w:top w:val="single" w:sz="8" w:space="0" w:color="auto"/>
              <w:left w:val="nil"/>
              <w:bottom w:val="single" w:sz="4" w:space="0" w:color="auto"/>
              <w:right w:val="nil"/>
            </w:tcBorders>
            <w:shd w:val="clear" w:color="auto" w:fill="auto"/>
            <w:vAlign w:val="center"/>
          </w:tcPr>
          <w:p w14:paraId="0A08ABAE" w14:textId="77777777" w:rsidR="000B0BED" w:rsidRPr="00E875CF" w:rsidRDefault="000B0BED" w:rsidP="008E3CF5">
            <w:pPr>
              <w:jc w:val="center"/>
              <w:rPr>
                <w:b/>
                <w:bCs/>
                <w:sz w:val="18"/>
                <w:szCs w:val="18"/>
                <w:lang w:val="en-US"/>
              </w:rPr>
            </w:pPr>
            <w:r w:rsidRPr="00E875CF">
              <w:rPr>
                <w:b/>
                <w:bCs/>
                <w:sz w:val="18"/>
                <w:szCs w:val="18"/>
              </w:rPr>
              <w:t>Отчет</w:t>
            </w:r>
            <w:r w:rsidRPr="00E875CF">
              <w:rPr>
                <w:b/>
                <w:bCs/>
                <w:sz w:val="18"/>
                <w:szCs w:val="18"/>
                <w:lang w:val="en-US"/>
              </w:rPr>
              <w:t xml:space="preserve"> </w:t>
            </w:r>
          </w:p>
          <w:p w14:paraId="09AEF460" w14:textId="77777777" w:rsidR="000B0BED" w:rsidRPr="00E875CF" w:rsidRDefault="000B0BED" w:rsidP="008E3CF5">
            <w:pPr>
              <w:jc w:val="center"/>
              <w:rPr>
                <w:b/>
                <w:bCs/>
                <w:sz w:val="18"/>
                <w:szCs w:val="18"/>
              </w:rPr>
            </w:pPr>
            <w:r w:rsidRPr="00E875CF">
              <w:rPr>
                <w:b/>
                <w:bCs/>
                <w:sz w:val="18"/>
                <w:szCs w:val="18"/>
              </w:rPr>
              <w:t>юни 2022 г.</w:t>
            </w:r>
          </w:p>
        </w:tc>
        <w:tc>
          <w:tcPr>
            <w:tcW w:w="1510" w:type="dxa"/>
            <w:tcBorders>
              <w:top w:val="single" w:sz="8" w:space="0" w:color="auto"/>
              <w:left w:val="nil"/>
              <w:bottom w:val="single" w:sz="4" w:space="0" w:color="auto"/>
              <w:right w:val="nil"/>
            </w:tcBorders>
            <w:shd w:val="clear" w:color="auto" w:fill="auto"/>
            <w:vAlign w:val="center"/>
          </w:tcPr>
          <w:p w14:paraId="17E1C944" w14:textId="77777777" w:rsidR="000B0BED" w:rsidRPr="00E875CF" w:rsidRDefault="000B0BED" w:rsidP="008E3CF5">
            <w:pPr>
              <w:jc w:val="center"/>
              <w:rPr>
                <w:b/>
                <w:bCs/>
                <w:sz w:val="18"/>
                <w:szCs w:val="18"/>
              </w:rPr>
            </w:pPr>
            <w:r w:rsidRPr="00E875CF">
              <w:rPr>
                <w:b/>
                <w:bCs/>
                <w:sz w:val="18"/>
                <w:szCs w:val="18"/>
              </w:rPr>
              <w:t xml:space="preserve">Отчет </w:t>
            </w:r>
          </w:p>
          <w:p w14:paraId="4BF2E6A2" w14:textId="77777777" w:rsidR="000B0BED" w:rsidRPr="00E875CF" w:rsidRDefault="000B0BED" w:rsidP="008E3CF5">
            <w:pPr>
              <w:jc w:val="center"/>
              <w:rPr>
                <w:b/>
                <w:bCs/>
                <w:sz w:val="18"/>
                <w:szCs w:val="18"/>
              </w:rPr>
            </w:pPr>
            <w:r w:rsidRPr="00E875CF">
              <w:rPr>
                <w:b/>
                <w:bCs/>
                <w:sz w:val="18"/>
                <w:szCs w:val="18"/>
              </w:rPr>
              <w:t>юни 2023 г.</w:t>
            </w:r>
          </w:p>
        </w:tc>
        <w:tc>
          <w:tcPr>
            <w:tcW w:w="1405" w:type="dxa"/>
            <w:tcBorders>
              <w:top w:val="single" w:sz="8" w:space="0" w:color="auto"/>
              <w:left w:val="nil"/>
              <w:bottom w:val="single" w:sz="4" w:space="0" w:color="auto"/>
              <w:right w:val="single" w:sz="8" w:space="0" w:color="auto"/>
            </w:tcBorders>
            <w:shd w:val="clear" w:color="auto" w:fill="auto"/>
            <w:vAlign w:val="center"/>
          </w:tcPr>
          <w:p w14:paraId="40869FC8" w14:textId="77777777" w:rsidR="000B0BED" w:rsidRPr="00E875CF" w:rsidRDefault="000B0BED" w:rsidP="008E3CF5">
            <w:pPr>
              <w:jc w:val="center"/>
              <w:rPr>
                <w:b/>
                <w:bCs/>
                <w:sz w:val="18"/>
                <w:szCs w:val="18"/>
              </w:rPr>
            </w:pPr>
            <w:r w:rsidRPr="00E875CF">
              <w:rPr>
                <w:b/>
                <w:bCs/>
                <w:sz w:val="18"/>
                <w:szCs w:val="18"/>
              </w:rPr>
              <w:t>Изпълнение спрямо 2022 г.</w:t>
            </w:r>
          </w:p>
        </w:tc>
      </w:tr>
      <w:tr w:rsidR="000B0BED" w:rsidRPr="008C38D6" w14:paraId="0976C4F2" w14:textId="77777777" w:rsidTr="008E3CF5">
        <w:trPr>
          <w:trHeight w:val="92"/>
          <w:jc w:val="center"/>
        </w:trPr>
        <w:tc>
          <w:tcPr>
            <w:tcW w:w="465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0DF129C" w14:textId="77777777" w:rsidR="000B0BED" w:rsidRPr="00E875CF" w:rsidRDefault="000B0BED" w:rsidP="008E3CF5">
            <w:pPr>
              <w:rPr>
                <w:b/>
                <w:bCs/>
                <w:sz w:val="18"/>
                <w:szCs w:val="18"/>
              </w:rPr>
            </w:pPr>
            <w:r w:rsidRPr="00E875CF">
              <w:rPr>
                <w:b/>
                <w:bCs/>
                <w:sz w:val="18"/>
                <w:szCs w:val="18"/>
              </w:rPr>
              <w:t>Общо приходи, помощи и дарения</w:t>
            </w:r>
          </w:p>
        </w:tc>
        <w:tc>
          <w:tcPr>
            <w:tcW w:w="1644" w:type="dxa"/>
            <w:tcBorders>
              <w:top w:val="nil"/>
              <w:left w:val="nil"/>
              <w:bottom w:val="nil"/>
              <w:right w:val="nil"/>
            </w:tcBorders>
            <w:shd w:val="clear" w:color="auto" w:fill="auto"/>
            <w:noWrap/>
            <w:vAlign w:val="bottom"/>
          </w:tcPr>
          <w:p w14:paraId="08D994B6" w14:textId="77777777" w:rsidR="000B0BED" w:rsidRDefault="000B0BED" w:rsidP="008E3CF5">
            <w:pPr>
              <w:jc w:val="right"/>
              <w:rPr>
                <w:b/>
                <w:bCs/>
                <w:sz w:val="18"/>
                <w:szCs w:val="18"/>
              </w:rPr>
            </w:pPr>
            <w:r>
              <w:rPr>
                <w:b/>
                <w:bCs/>
                <w:sz w:val="18"/>
                <w:szCs w:val="18"/>
              </w:rPr>
              <w:t>16 531,1</w:t>
            </w:r>
          </w:p>
        </w:tc>
        <w:tc>
          <w:tcPr>
            <w:tcW w:w="1510" w:type="dxa"/>
            <w:tcBorders>
              <w:top w:val="nil"/>
              <w:left w:val="nil"/>
              <w:bottom w:val="nil"/>
              <w:right w:val="nil"/>
            </w:tcBorders>
            <w:shd w:val="clear" w:color="auto" w:fill="auto"/>
            <w:noWrap/>
            <w:vAlign w:val="bottom"/>
          </w:tcPr>
          <w:p w14:paraId="1E2AB9C6" w14:textId="77777777" w:rsidR="000B0BED" w:rsidRDefault="000B0BED" w:rsidP="008E3CF5">
            <w:pPr>
              <w:jc w:val="right"/>
              <w:rPr>
                <w:b/>
                <w:bCs/>
                <w:sz w:val="18"/>
                <w:szCs w:val="18"/>
              </w:rPr>
            </w:pPr>
            <w:r>
              <w:rPr>
                <w:b/>
                <w:bCs/>
                <w:sz w:val="18"/>
                <w:szCs w:val="18"/>
              </w:rPr>
              <w:t>18 344,0</w:t>
            </w:r>
          </w:p>
        </w:tc>
        <w:tc>
          <w:tcPr>
            <w:tcW w:w="1405" w:type="dxa"/>
            <w:tcBorders>
              <w:top w:val="single" w:sz="4" w:space="0" w:color="auto"/>
              <w:left w:val="nil"/>
              <w:bottom w:val="single" w:sz="4" w:space="0" w:color="auto"/>
              <w:right w:val="single" w:sz="4" w:space="0" w:color="auto"/>
            </w:tcBorders>
            <w:shd w:val="clear" w:color="auto" w:fill="auto"/>
            <w:noWrap/>
            <w:vAlign w:val="bottom"/>
          </w:tcPr>
          <w:p w14:paraId="6825B3FC" w14:textId="77777777" w:rsidR="000B0BED" w:rsidRDefault="000B0BED" w:rsidP="008E3CF5">
            <w:pPr>
              <w:jc w:val="right"/>
              <w:rPr>
                <w:b/>
                <w:bCs/>
                <w:sz w:val="18"/>
                <w:szCs w:val="18"/>
              </w:rPr>
            </w:pPr>
            <w:r>
              <w:rPr>
                <w:b/>
                <w:bCs/>
                <w:sz w:val="18"/>
                <w:szCs w:val="18"/>
              </w:rPr>
              <w:t>111,0%</w:t>
            </w:r>
          </w:p>
        </w:tc>
      </w:tr>
      <w:tr w:rsidR="000B0BED" w:rsidRPr="008C38D6" w14:paraId="7D74FBE4" w14:textId="77777777" w:rsidTr="008E3CF5">
        <w:trPr>
          <w:trHeight w:val="80"/>
          <w:jc w:val="center"/>
        </w:trPr>
        <w:tc>
          <w:tcPr>
            <w:tcW w:w="4654" w:type="dxa"/>
            <w:tcBorders>
              <w:top w:val="single" w:sz="4" w:space="0" w:color="auto"/>
              <w:left w:val="single" w:sz="8" w:space="0" w:color="auto"/>
              <w:bottom w:val="nil"/>
              <w:right w:val="single" w:sz="4" w:space="0" w:color="auto"/>
            </w:tcBorders>
            <w:shd w:val="clear" w:color="auto" w:fill="auto"/>
            <w:noWrap/>
            <w:vAlign w:val="bottom"/>
          </w:tcPr>
          <w:p w14:paraId="2C6E3369" w14:textId="77777777" w:rsidR="000B0BED" w:rsidRPr="00E875CF" w:rsidRDefault="000B0BED" w:rsidP="008E3CF5">
            <w:pPr>
              <w:rPr>
                <w:sz w:val="18"/>
                <w:szCs w:val="18"/>
              </w:rPr>
            </w:pPr>
            <w:r w:rsidRPr="00E875CF">
              <w:rPr>
                <w:sz w:val="18"/>
                <w:szCs w:val="18"/>
              </w:rPr>
              <w:t xml:space="preserve">   -Данъчни приходи</w:t>
            </w:r>
          </w:p>
        </w:tc>
        <w:tc>
          <w:tcPr>
            <w:tcW w:w="1644" w:type="dxa"/>
            <w:tcBorders>
              <w:top w:val="single" w:sz="4" w:space="0" w:color="auto"/>
              <w:left w:val="single" w:sz="4" w:space="0" w:color="auto"/>
            </w:tcBorders>
            <w:shd w:val="clear" w:color="auto" w:fill="auto"/>
            <w:noWrap/>
            <w:vAlign w:val="bottom"/>
          </w:tcPr>
          <w:p w14:paraId="1AB6FF2A" w14:textId="77777777" w:rsidR="000B0BED" w:rsidRDefault="000B0BED" w:rsidP="008E3CF5">
            <w:pPr>
              <w:jc w:val="right"/>
              <w:rPr>
                <w:sz w:val="18"/>
                <w:szCs w:val="18"/>
              </w:rPr>
            </w:pPr>
            <w:r>
              <w:rPr>
                <w:sz w:val="18"/>
                <w:szCs w:val="18"/>
              </w:rPr>
              <w:t>14 962,0</w:t>
            </w:r>
          </w:p>
        </w:tc>
        <w:tc>
          <w:tcPr>
            <w:tcW w:w="1510" w:type="dxa"/>
            <w:tcBorders>
              <w:top w:val="single" w:sz="4" w:space="0" w:color="auto"/>
            </w:tcBorders>
            <w:shd w:val="clear" w:color="auto" w:fill="auto"/>
            <w:noWrap/>
            <w:vAlign w:val="bottom"/>
          </w:tcPr>
          <w:p w14:paraId="7967B4B0" w14:textId="77777777" w:rsidR="000B0BED" w:rsidRDefault="000B0BED" w:rsidP="008E3CF5">
            <w:pPr>
              <w:jc w:val="right"/>
              <w:rPr>
                <w:sz w:val="18"/>
                <w:szCs w:val="18"/>
              </w:rPr>
            </w:pPr>
            <w:r>
              <w:rPr>
                <w:sz w:val="18"/>
                <w:szCs w:val="18"/>
              </w:rPr>
              <w:t>15 612,0</w:t>
            </w:r>
          </w:p>
        </w:tc>
        <w:tc>
          <w:tcPr>
            <w:tcW w:w="1405" w:type="dxa"/>
            <w:tcBorders>
              <w:top w:val="single" w:sz="4" w:space="0" w:color="auto"/>
              <w:left w:val="nil"/>
              <w:right w:val="single" w:sz="4" w:space="0" w:color="auto"/>
            </w:tcBorders>
            <w:shd w:val="clear" w:color="auto" w:fill="auto"/>
            <w:noWrap/>
            <w:vAlign w:val="bottom"/>
          </w:tcPr>
          <w:p w14:paraId="1A8BBA40" w14:textId="77777777" w:rsidR="000B0BED" w:rsidRDefault="000B0BED" w:rsidP="008E3CF5">
            <w:pPr>
              <w:jc w:val="right"/>
              <w:rPr>
                <w:sz w:val="18"/>
                <w:szCs w:val="18"/>
              </w:rPr>
            </w:pPr>
            <w:r>
              <w:rPr>
                <w:sz w:val="18"/>
                <w:szCs w:val="18"/>
              </w:rPr>
              <w:t>104,3%</w:t>
            </w:r>
          </w:p>
        </w:tc>
      </w:tr>
      <w:tr w:rsidR="000B0BED" w:rsidRPr="008C38D6" w14:paraId="41D63EAF" w14:textId="77777777" w:rsidTr="008E3CF5">
        <w:trPr>
          <w:trHeight w:val="80"/>
          <w:jc w:val="center"/>
        </w:trPr>
        <w:tc>
          <w:tcPr>
            <w:tcW w:w="4654" w:type="dxa"/>
            <w:tcBorders>
              <w:left w:val="single" w:sz="8" w:space="0" w:color="auto"/>
              <w:right w:val="single" w:sz="4" w:space="0" w:color="auto"/>
            </w:tcBorders>
            <w:shd w:val="clear" w:color="auto" w:fill="auto"/>
            <w:noWrap/>
            <w:vAlign w:val="bottom"/>
          </w:tcPr>
          <w:p w14:paraId="0BF06772" w14:textId="77777777" w:rsidR="000B0BED" w:rsidRPr="00E875CF" w:rsidRDefault="000B0BED" w:rsidP="008E3CF5">
            <w:pPr>
              <w:rPr>
                <w:sz w:val="18"/>
                <w:szCs w:val="18"/>
              </w:rPr>
            </w:pPr>
            <w:r w:rsidRPr="00E875CF">
              <w:rPr>
                <w:sz w:val="18"/>
                <w:szCs w:val="18"/>
              </w:rPr>
              <w:t xml:space="preserve">      Корпоративни данъци</w:t>
            </w:r>
          </w:p>
        </w:tc>
        <w:tc>
          <w:tcPr>
            <w:tcW w:w="1644" w:type="dxa"/>
            <w:tcBorders>
              <w:left w:val="single" w:sz="4" w:space="0" w:color="auto"/>
            </w:tcBorders>
            <w:shd w:val="clear" w:color="auto" w:fill="auto"/>
            <w:noWrap/>
            <w:vAlign w:val="bottom"/>
          </w:tcPr>
          <w:p w14:paraId="20BD3F95" w14:textId="77777777" w:rsidR="000B0BED" w:rsidRDefault="000B0BED" w:rsidP="008E3CF5">
            <w:pPr>
              <w:jc w:val="right"/>
              <w:rPr>
                <w:sz w:val="18"/>
                <w:szCs w:val="18"/>
              </w:rPr>
            </w:pPr>
            <w:r>
              <w:rPr>
                <w:sz w:val="18"/>
                <w:szCs w:val="18"/>
              </w:rPr>
              <w:t>1 816,5</w:t>
            </w:r>
          </w:p>
        </w:tc>
        <w:tc>
          <w:tcPr>
            <w:tcW w:w="1510" w:type="dxa"/>
            <w:shd w:val="clear" w:color="auto" w:fill="auto"/>
            <w:noWrap/>
            <w:vAlign w:val="bottom"/>
          </w:tcPr>
          <w:p w14:paraId="173CEF54" w14:textId="77777777" w:rsidR="000B0BED" w:rsidRDefault="000B0BED" w:rsidP="008E3CF5">
            <w:pPr>
              <w:jc w:val="right"/>
              <w:rPr>
                <w:sz w:val="18"/>
                <w:szCs w:val="18"/>
              </w:rPr>
            </w:pPr>
            <w:r>
              <w:rPr>
                <w:sz w:val="18"/>
                <w:szCs w:val="18"/>
              </w:rPr>
              <w:t>2 086,2</w:t>
            </w:r>
          </w:p>
        </w:tc>
        <w:tc>
          <w:tcPr>
            <w:tcW w:w="1405" w:type="dxa"/>
            <w:tcBorders>
              <w:right w:val="single" w:sz="4" w:space="0" w:color="auto"/>
            </w:tcBorders>
            <w:shd w:val="clear" w:color="auto" w:fill="auto"/>
            <w:noWrap/>
            <w:vAlign w:val="bottom"/>
          </w:tcPr>
          <w:p w14:paraId="17B625D6" w14:textId="77777777" w:rsidR="000B0BED" w:rsidRDefault="000B0BED" w:rsidP="008E3CF5">
            <w:pPr>
              <w:jc w:val="right"/>
              <w:rPr>
                <w:sz w:val="18"/>
                <w:szCs w:val="18"/>
              </w:rPr>
            </w:pPr>
            <w:r>
              <w:rPr>
                <w:sz w:val="18"/>
                <w:szCs w:val="18"/>
              </w:rPr>
              <w:t>114,8%</w:t>
            </w:r>
          </w:p>
        </w:tc>
      </w:tr>
      <w:tr w:rsidR="000B0BED" w:rsidRPr="008C38D6" w14:paraId="27B0CF47" w14:textId="77777777" w:rsidTr="008E3CF5">
        <w:trPr>
          <w:trHeight w:val="165"/>
          <w:jc w:val="center"/>
        </w:trPr>
        <w:tc>
          <w:tcPr>
            <w:tcW w:w="4654" w:type="dxa"/>
            <w:tcBorders>
              <w:left w:val="single" w:sz="8" w:space="0" w:color="auto"/>
              <w:right w:val="single" w:sz="4" w:space="0" w:color="auto"/>
            </w:tcBorders>
            <w:shd w:val="clear" w:color="auto" w:fill="auto"/>
            <w:noWrap/>
            <w:vAlign w:val="bottom"/>
          </w:tcPr>
          <w:p w14:paraId="532FA567" w14:textId="77777777" w:rsidR="000B0BED" w:rsidRPr="00E875CF" w:rsidRDefault="000B0BED" w:rsidP="008E3CF5">
            <w:pPr>
              <w:rPr>
                <w:sz w:val="18"/>
                <w:szCs w:val="18"/>
              </w:rPr>
            </w:pPr>
            <w:r w:rsidRPr="00E875CF">
              <w:rPr>
                <w:sz w:val="18"/>
                <w:szCs w:val="18"/>
              </w:rPr>
              <w:t xml:space="preserve">     </w:t>
            </w:r>
            <w:r w:rsidRPr="00E875CF">
              <w:rPr>
                <w:sz w:val="18"/>
                <w:szCs w:val="18"/>
                <w:lang w:val="en-US"/>
              </w:rPr>
              <w:t xml:space="preserve"> </w:t>
            </w:r>
            <w:r w:rsidRPr="00E875CF">
              <w:rPr>
                <w:sz w:val="18"/>
                <w:szCs w:val="18"/>
              </w:rPr>
              <w:t>ДДФЛ</w:t>
            </w:r>
          </w:p>
        </w:tc>
        <w:tc>
          <w:tcPr>
            <w:tcW w:w="1644" w:type="dxa"/>
            <w:tcBorders>
              <w:left w:val="single" w:sz="4" w:space="0" w:color="auto"/>
            </w:tcBorders>
            <w:shd w:val="clear" w:color="auto" w:fill="auto"/>
            <w:noWrap/>
            <w:vAlign w:val="bottom"/>
          </w:tcPr>
          <w:p w14:paraId="65E9347C" w14:textId="77777777" w:rsidR="000B0BED" w:rsidRDefault="000B0BED" w:rsidP="008E3CF5">
            <w:pPr>
              <w:jc w:val="right"/>
              <w:rPr>
                <w:sz w:val="18"/>
                <w:szCs w:val="18"/>
              </w:rPr>
            </w:pPr>
            <w:r>
              <w:rPr>
                <w:sz w:val="18"/>
                <w:szCs w:val="18"/>
              </w:rPr>
              <w:t>2 488,3</w:t>
            </w:r>
          </w:p>
        </w:tc>
        <w:tc>
          <w:tcPr>
            <w:tcW w:w="1510" w:type="dxa"/>
            <w:shd w:val="clear" w:color="auto" w:fill="auto"/>
            <w:noWrap/>
            <w:vAlign w:val="bottom"/>
          </w:tcPr>
          <w:p w14:paraId="3E8F719B" w14:textId="77777777" w:rsidR="000B0BED" w:rsidRDefault="000B0BED" w:rsidP="008E3CF5">
            <w:pPr>
              <w:jc w:val="right"/>
              <w:rPr>
                <w:sz w:val="18"/>
                <w:szCs w:val="18"/>
              </w:rPr>
            </w:pPr>
            <w:r>
              <w:rPr>
                <w:sz w:val="18"/>
                <w:szCs w:val="18"/>
              </w:rPr>
              <w:t>2 853,5</w:t>
            </w:r>
          </w:p>
        </w:tc>
        <w:tc>
          <w:tcPr>
            <w:tcW w:w="1405" w:type="dxa"/>
            <w:tcBorders>
              <w:right w:val="single" w:sz="4" w:space="0" w:color="auto"/>
            </w:tcBorders>
            <w:shd w:val="clear" w:color="auto" w:fill="auto"/>
            <w:noWrap/>
            <w:vAlign w:val="bottom"/>
          </w:tcPr>
          <w:p w14:paraId="20062B1E" w14:textId="77777777" w:rsidR="000B0BED" w:rsidRDefault="000B0BED" w:rsidP="008E3CF5">
            <w:pPr>
              <w:jc w:val="right"/>
              <w:rPr>
                <w:sz w:val="18"/>
                <w:szCs w:val="18"/>
              </w:rPr>
            </w:pPr>
            <w:r>
              <w:rPr>
                <w:sz w:val="18"/>
                <w:szCs w:val="18"/>
              </w:rPr>
              <w:t>114,7%</w:t>
            </w:r>
          </w:p>
        </w:tc>
      </w:tr>
      <w:tr w:rsidR="000B0BED" w:rsidRPr="008C38D6" w14:paraId="39E0F993" w14:textId="77777777" w:rsidTr="008E3CF5">
        <w:trPr>
          <w:trHeight w:val="165"/>
          <w:jc w:val="center"/>
        </w:trPr>
        <w:tc>
          <w:tcPr>
            <w:tcW w:w="4654" w:type="dxa"/>
            <w:tcBorders>
              <w:left w:val="single" w:sz="8" w:space="0" w:color="auto"/>
              <w:right w:val="single" w:sz="4" w:space="0" w:color="auto"/>
            </w:tcBorders>
            <w:shd w:val="clear" w:color="auto" w:fill="auto"/>
            <w:noWrap/>
            <w:vAlign w:val="bottom"/>
          </w:tcPr>
          <w:p w14:paraId="450CA52B" w14:textId="77777777" w:rsidR="000B0BED" w:rsidRPr="00E875CF" w:rsidRDefault="000B0BED" w:rsidP="008E3CF5">
            <w:pPr>
              <w:rPr>
                <w:sz w:val="18"/>
                <w:szCs w:val="18"/>
              </w:rPr>
            </w:pPr>
            <w:r w:rsidRPr="00E875CF">
              <w:rPr>
                <w:sz w:val="18"/>
                <w:szCs w:val="18"/>
              </w:rPr>
              <w:t xml:space="preserve">     </w:t>
            </w:r>
            <w:r w:rsidRPr="00E875CF">
              <w:rPr>
                <w:sz w:val="18"/>
                <w:szCs w:val="18"/>
                <w:lang w:val="en-US"/>
              </w:rPr>
              <w:t xml:space="preserve"> </w:t>
            </w:r>
            <w:r w:rsidRPr="00E875CF">
              <w:rPr>
                <w:sz w:val="18"/>
                <w:szCs w:val="18"/>
              </w:rPr>
              <w:t>ДДС</w:t>
            </w:r>
          </w:p>
        </w:tc>
        <w:tc>
          <w:tcPr>
            <w:tcW w:w="1644" w:type="dxa"/>
            <w:tcBorders>
              <w:top w:val="nil"/>
              <w:left w:val="single" w:sz="4" w:space="0" w:color="auto"/>
            </w:tcBorders>
            <w:shd w:val="clear" w:color="auto" w:fill="auto"/>
            <w:noWrap/>
            <w:vAlign w:val="bottom"/>
          </w:tcPr>
          <w:p w14:paraId="11293C50" w14:textId="77777777" w:rsidR="000B0BED" w:rsidRDefault="000B0BED" w:rsidP="008E3CF5">
            <w:pPr>
              <w:jc w:val="right"/>
              <w:rPr>
                <w:sz w:val="18"/>
                <w:szCs w:val="18"/>
              </w:rPr>
            </w:pPr>
            <w:r>
              <w:rPr>
                <w:sz w:val="18"/>
                <w:szCs w:val="18"/>
              </w:rPr>
              <w:t>7 548,2</w:t>
            </w:r>
          </w:p>
        </w:tc>
        <w:tc>
          <w:tcPr>
            <w:tcW w:w="1510" w:type="dxa"/>
            <w:tcBorders>
              <w:top w:val="nil"/>
            </w:tcBorders>
            <w:shd w:val="clear" w:color="auto" w:fill="auto"/>
            <w:noWrap/>
            <w:vAlign w:val="bottom"/>
          </w:tcPr>
          <w:p w14:paraId="75FB8CCB" w14:textId="77777777" w:rsidR="000B0BED" w:rsidRDefault="000B0BED" w:rsidP="008E3CF5">
            <w:pPr>
              <w:jc w:val="right"/>
              <w:rPr>
                <w:sz w:val="18"/>
                <w:szCs w:val="18"/>
              </w:rPr>
            </w:pPr>
            <w:r>
              <w:rPr>
                <w:sz w:val="18"/>
                <w:szCs w:val="18"/>
              </w:rPr>
              <w:t>7 423,1</w:t>
            </w:r>
          </w:p>
        </w:tc>
        <w:tc>
          <w:tcPr>
            <w:tcW w:w="1405" w:type="dxa"/>
            <w:tcBorders>
              <w:top w:val="nil"/>
              <w:right w:val="single" w:sz="4" w:space="0" w:color="auto"/>
            </w:tcBorders>
            <w:shd w:val="clear" w:color="auto" w:fill="auto"/>
            <w:noWrap/>
            <w:vAlign w:val="bottom"/>
          </w:tcPr>
          <w:p w14:paraId="4E554FBE" w14:textId="77777777" w:rsidR="000B0BED" w:rsidRDefault="000B0BED" w:rsidP="008E3CF5">
            <w:pPr>
              <w:jc w:val="right"/>
              <w:rPr>
                <w:sz w:val="18"/>
                <w:szCs w:val="18"/>
              </w:rPr>
            </w:pPr>
            <w:r>
              <w:rPr>
                <w:sz w:val="18"/>
                <w:szCs w:val="18"/>
              </w:rPr>
              <w:t>98,3%</w:t>
            </w:r>
          </w:p>
        </w:tc>
      </w:tr>
      <w:tr w:rsidR="000B0BED" w:rsidRPr="008C38D6" w14:paraId="6AAFD1F2" w14:textId="77777777" w:rsidTr="008E3CF5">
        <w:trPr>
          <w:trHeight w:val="165"/>
          <w:jc w:val="center"/>
        </w:trPr>
        <w:tc>
          <w:tcPr>
            <w:tcW w:w="4654" w:type="dxa"/>
            <w:tcBorders>
              <w:left w:val="single" w:sz="8" w:space="0" w:color="auto"/>
              <w:right w:val="single" w:sz="4" w:space="0" w:color="auto"/>
            </w:tcBorders>
            <w:shd w:val="clear" w:color="auto" w:fill="auto"/>
            <w:noWrap/>
            <w:vAlign w:val="bottom"/>
          </w:tcPr>
          <w:p w14:paraId="06D3562C" w14:textId="77777777" w:rsidR="000B0BED" w:rsidRPr="00E875CF" w:rsidRDefault="000B0BED" w:rsidP="008E3CF5">
            <w:pPr>
              <w:rPr>
                <w:sz w:val="18"/>
                <w:szCs w:val="18"/>
              </w:rPr>
            </w:pPr>
            <w:r w:rsidRPr="00E875CF">
              <w:rPr>
                <w:sz w:val="18"/>
                <w:szCs w:val="18"/>
              </w:rPr>
              <w:t xml:space="preserve">     </w:t>
            </w:r>
            <w:r w:rsidRPr="00E875CF">
              <w:rPr>
                <w:sz w:val="18"/>
                <w:szCs w:val="18"/>
                <w:lang w:val="en-US"/>
              </w:rPr>
              <w:t xml:space="preserve"> </w:t>
            </w:r>
            <w:r w:rsidRPr="00E875CF">
              <w:rPr>
                <w:sz w:val="18"/>
                <w:szCs w:val="18"/>
              </w:rPr>
              <w:t xml:space="preserve">Акцизи </w:t>
            </w:r>
          </w:p>
        </w:tc>
        <w:tc>
          <w:tcPr>
            <w:tcW w:w="1644" w:type="dxa"/>
            <w:tcBorders>
              <w:top w:val="nil"/>
              <w:left w:val="single" w:sz="4" w:space="0" w:color="auto"/>
            </w:tcBorders>
            <w:shd w:val="clear" w:color="auto" w:fill="auto"/>
            <w:noWrap/>
            <w:vAlign w:val="bottom"/>
          </w:tcPr>
          <w:p w14:paraId="749D7A52" w14:textId="77777777" w:rsidR="000B0BED" w:rsidRDefault="000B0BED" w:rsidP="008E3CF5">
            <w:pPr>
              <w:jc w:val="right"/>
              <w:rPr>
                <w:sz w:val="18"/>
                <w:szCs w:val="18"/>
              </w:rPr>
            </w:pPr>
            <w:r>
              <w:rPr>
                <w:sz w:val="18"/>
                <w:szCs w:val="18"/>
              </w:rPr>
              <w:t>2 758,0</w:t>
            </w:r>
          </w:p>
        </w:tc>
        <w:tc>
          <w:tcPr>
            <w:tcW w:w="1510" w:type="dxa"/>
            <w:tcBorders>
              <w:top w:val="nil"/>
            </w:tcBorders>
            <w:shd w:val="clear" w:color="auto" w:fill="auto"/>
            <w:noWrap/>
            <w:vAlign w:val="bottom"/>
          </w:tcPr>
          <w:p w14:paraId="586A9FA9" w14:textId="77777777" w:rsidR="000B0BED" w:rsidRDefault="000B0BED" w:rsidP="008E3CF5">
            <w:pPr>
              <w:jc w:val="right"/>
              <w:rPr>
                <w:sz w:val="18"/>
                <w:szCs w:val="18"/>
              </w:rPr>
            </w:pPr>
            <w:r>
              <w:rPr>
                <w:sz w:val="18"/>
                <w:szCs w:val="18"/>
              </w:rPr>
              <w:t>2 837,6</w:t>
            </w:r>
          </w:p>
        </w:tc>
        <w:tc>
          <w:tcPr>
            <w:tcW w:w="1405" w:type="dxa"/>
            <w:tcBorders>
              <w:top w:val="nil"/>
              <w:right w:val="single" w:sz="4" w:space="0" w:color="auto"/>
            </w:tcBorders>
            <w:shd w:val="clear" w:color="auto" w:fill="auto"/>
            <w:noWrap/>
            <w:vAlign w:val="bottom"/>
          </w:tcPr>
          <w:p w14:paraId="0D7C0A9D" w14:textId="77777777" w:rsidR="000B0BED" w:rsidRDefault="000B0BED" w:rsidP="008E3CF5">
            <w:pPr>
              <w:jc w:val="right"/>
              <w:rPr>
                <w:sz w:val="18"/>
                <w:szCs w:val="18"/>
              </w:rPr>
            </w:pPr>
            <w:r>
              <w:rPr>
                <w:sz w:val="18"/>
                <w:szCs w:val="18"/>
              </w:rPr>
              <w:t>102,9%</w:t>
            </w:r>
          </w:p>
        </w:tc>
      </w:tr>
      <w:tr w:rsidR="000B0BED" w:rsidRPr="008C38D6" w14:paraId="0BD2747A" w14:textId="77777777" w:rsidTr="008E3CF5">
        <w:trPr>
          <w:trHeight w:val="165"/>
          <w:jc w:val="center"/>
        </w:trPr>
        <w:tc>
          <w:tcPr>
            <w:tcW w:w="4654" w:type="dxa"/>
            <w:tcBorders>
              <w:left w:val="single" w:sz="8" w:space="0" w:color="auto"/>
              <w:right w:val="single" w:sz="4" w:space="0" w:color="auto"/>
            </w:tcBorders>
            <w:shd w:val="clear" w:color="auto" w:fill="auto"/>
            <w:noWrap/>
            <w:vAlign w:val="bottom"/>
          </w:tcPr>
          <w:p w14:paraId="7616117E" w14:textId="77777777" w:rsidR="000B0BED" w:rsidRPr="00E875CF" w:rsidRDefault="000B0BED" w:rsidP="008E3CF5">
            <w:pPr>
              <w:rPr>
                <w:sz w:val="18"/>
                <w:szCs w:val="18"/>
              </w:rPr>
            </w:pPr>
            <w:r w:rsidRPr="00E875CF">
              <w:rPr>
                <w:sz w:val="18"/>
                <w:szCs w:val="18"/>
              </w:rPr>
              <w:t xml:space="preserve">      Данък в/у застрахователните премии</w:t>
            </w:r>
          </w:p>
        </w:tc>
        <w:tc>
          <w:tcPr>
            <w:tcW w:w="1644" w:type="dxa"/>
            <w:tcBorders>
              <w:top w:val="nil"/>
              <w:left w:val="single" w:sz="4" w:space="0" w:color="auto"/>
            </w:tcBorders>
            <w:shd w:val="clear" w:color="auto" w:fill="auto"/>
            <w:noWrap/>
            <w:vAlign w:val="bottom"/>
          </w:tcPr>
          <w:p w14:paraId="47AA1425" w14:textId="77777777" w:rsidR="000B0BED" w:rsidRDefault="000B0BED" w:rsidP="008E3CF5">
            <w:pPr>
              <w:jc w:val="right"/>
              <w:rPr>
                <w:sz w:val="18"/>
                <w:szCs w:val="18"/>
              </w:rPr>
            </w:pPr>
            <w:r>
              <w:rPr>
                <w:sz w:val="18"/>
                <w:szCs w:val="18"/>
              </w:rPr>
              <w:t>25,2</w:t>
            </w:r>
          </w:p>
        </w:tc>
        <w:tc>
          <w:tcPr>
            <w:tcW w:w="1510" w:type="dxa"/>
            <w:tcBorders>
              <w:top w:val="nil"/>
            </w:tcBorders>
            <w:shd w:val="clear" w:color="auto" w:fill="auto"/>
            <w:noWrap/>
            <w:vAlign w:val="bottom"/>
          </w:tcPr>
          <w:p w14:paraId="62D3B591" w14:textId="77777777" w:rsidR="000B0BED" w:rsidRDefault="000B0BED" w:rsidP="008E3CF5">
            <w:pPr>
              <w:jc w:val="right"/>
              <w:rPr>
                <w:sz w:val="18"/>
                <w:szCs w:val="18"/>
              </w:rPr>
            </w:pPr>
            <w:r>
              <w:rPr>
                <w:sz w:val="18"/>
                <w:szCs w:val="18"/>
              </w:rPr>
              <w:t>27,5</w:t>
            </w:r>
          </w:p>
        </w:tc>
        <w:tc>
          <w:tcPr>
            <w:tcW w:w="1405" w:type="dxa"/>
            <w:tcBorders>
              <w:top w:val="nil"/>
              <w:right w:val="single" w:sz="4" w:space="0" w:color="auto"/>
            </w:tcBorders>
            <w:shd w:val="clear" w:color="auto" w:fill="auto"/>
            <w:noWrap/>
            <w:vAlign w:val="bottom"/>
          </w:tcPr>
          <w:p w14:paraId="6EE96B9E" w14:textId="77777777" w:rsidR="000B0BED" w:rsidRDefault="000B0BED" w:rsidP="008E3CF5">
            <w:pPr>
              <w:jc w:val="right"/>
              <w:rPr>
                <w:sz w:val="18"/>
                <w:szCs w:val="18"/>
              </w:rPr>
            </w:pPr>
            <w:r>
              <w:rPr>
                <w:sz w:val="18"/>
                <w:szCs w:val="18"/>
              </w:rPr>
              <w:t>109,2%</w:t>
            </w:r>
          </w:p>
        </w:tc>
      </w:tr>
      <w:tr w:rsidR="000B0BED" w:rsidRPr="008C38D6" w14:paraId="0F35E739" w14:textId="77777777" w:rsidTr="008E3CF5">
        <w:trPr>
          <w:trHeight w:val="165"/>
          <w:jc w:val="center"/>
        </w:trPr>
        <w:tc>
          <w:tcPr>
            <w:tcW w:w="4654" w:type="dxa"/>
            <w:tcBorders>
              <w:left w:val="single" w:sz="8" w:space="0" w:color="auto"/>
              <w:right w:val="single" w:sz="4" w:space="0" w:color="auto"/>
            </w:tcBorders>
            <w:shd w:val="clear" w:color="auto" w:fill="auto"/>
            <w:noWrap/>
            <w:vAlign w:val="bottom"/>
          </w:tcPr>
          <w:p w14:paraId="23CB2B56" w14:textId="77777777" w:rsidR="000B0BED" w:rsidRPr="00E875CF" w:rsidRDefault="000B0BED" w:rsidP="008E3CF5">
            <w:pPr>
              <w:rPr>
                <w:sz w:val="18"/>
                <w:szCs w:val="18"/>
              </w:rPr>
            </w:pPr>
            <w:r w:rsidRPr="00E875CF">
              <w:rPr>
                <w:sz w:val="18"/>
                <w:szCs w:val="18"/>
              </w:rPr>
              <w:t xml:space="preserve">     </w:t>
            </w:r>
            <w:r w:rsidRPr="00E875CF">
              <w:rPr>
                <w:sz w:val="18"/>
                <w:szCs w:val="18"/>
                <w:lang w:val="en-US"/>
              </w:rPr>
              <w:t xml:space="preserve"> </w:t>
            </w:r>
            <w:r w:rsidRPr="00E875CF">
              <w:rPr>
                <w:sz w:val="18"/>
                <w:szCs w:val="18"/>
              </w:rPr>
              <w:t>Мита и митнически такси</w:t>
            </w:r>
          </w:p>
        </w:tc>
        <w:tc>
          <w:tcPr>
            <w:tcW w:w="1644" w:type="dxa"/>
            <w:tcBorders>
              <w:top w:val="nil"/>
              <w:left w:val="single" w:sz="4" w:space="0" w:color="auto"/>
            </w:tcBorders>
            <w:shd w:val="clear" w:color="auto" w:fill="auto"/>
            <w:noWrap/>
            <w:vAlign w:val="bottom"/>
          </w:tcPr>
          <w:p w14:paraId="444A52DD" w14:textId="77777777" w:rsidR="000B0BED" w:rsidRDefault="000B0BED" w:rsidP="008E3CF5">
            <w:pPr>
              <w:jc w:val="right"/>
              <w:rPr>
                <w:sz w:val="18"/>
                <w:szCs w:val="18"/>
              </w:rPr>
            </w:pPr>
            <w:r>
              <w:rPr>
                <w:sz w:val="18"/>
                <w:szCs w:val="18"/>
              </w:rPr>
              <w:t>218,5</w:t>
            </w:r>
          </w:p>
        </w:tc>
        <w:tc>
          <w:tcPr>
            <w:tcW w:w="1510" w:type="dxa"/>
            <w:tcBorders>
              <w:top w:val="nil"/>
            </w:tcBorders>
            <w:shd w:val="clear" w:color="auto" w:fill="auto"/>
            <w:noWrap/>
            <w:vAlign w:val="bottom"/>
          </w:tcPr>
          <w:p w14:paraId="7259D335" w14:textId="77777777" w:rsidR="000B0BED" w:rsidRDefault="000B0BED" w:rsidP="008E3CF5">
            <w:pPr>
              <w:jc w:val="right"/>
              <w:rPr>
                <w:sz w:val="18"/>
                <w:szCs w:val="18"/>
              </w:rPr>
            </w:pPr>
            <w:r>
              <w:rPr>
                <w:sz w:val="18"/>
                <w:szCs w:val="18"/>
              </w:rPr>
              <w:t>166,1</w:t>
            </w:r>
          </w:p>
        </w:tc>
        <w:tc>
          <w:tcPr>
            <w:tcW w:w="1405" w:type="dxa"/>
            <w:tcBorders>
              <w:top w:val="nil"/>
              <w:right w:val="single" w:sz="4" w:space="0" w:color="auto"/>
            </w:tcBorders>
            <w:shd w:val="clear" w:color="auto" w:fill="auto"/>
            <w:noWrap/>
            <w:vAlign w:val="bottom"/>
          </w:tcPr>
          <w:p w14:paraId="7B0879CF" w14:textId="77777777" w:rsidR="000B0BED" w:rsidRDefault="000B0BED" w:rsidP="008E3CF5">
            <w:pPr>
              <w:jc w:val="right"/>
              <w:rPr>
                <w:sz w:val="18"/>
                <w:szCs w:val="18"/>
              </w:rPr>
            </w:pPr>
            <w:r>
              <w:rPr>
                <w:sz w:val="18"/>
                <w:szCs w:val="18"/>
              </w:rPr>
              <w:t>76,0%</w:t>
            </w:r>
          </w:p>
        </w:tc>
      </w:tr>
      <w:tr w:rsidR="000B0BED" w:rsidRPr="008C38D6" w14:paraId="0F9859AF" w14:textId="77777777" w:rsidTr="008E3CF5">
        <w:trPr>
          <w:trHeight w:val="165"/>
          <w:jc w:val="center"/>
        </w:trPr>
        <w:tc>
          <w:tcPr>
            <w:tcW w:w="4654" w:type="dxa"/>
            <w:tcBorders>
              <w:left w:val="single" w:sz="8" w:space="0" w:color="auto"/>
              <w:right w:val="single" w:sz="4" w:space="0" w:color="auto"/>
            </w:tcBorders>
            <w:shd w:val="clear" w:color="auto" w:fill="auto"/>
            <w:noWrap/>
            <w:vAlign w:val="bottom"/>
          </w:tcPr>
          <w:p w14:paraId="21F43446" w14:textId="77777777" w:rsidR="000B0BED" w:rsidRPr="00E875CF" w:rsidRDefault="000B0BED" w:rsidP="008E3CF5">
            <w:pPr>
              <w:rPr>
                <w:sz w:val="18"/>
                <w:szCs w:val="18"/>
              </w:rPr>
            </w:pPr>
            <w:r w:rsidRPr="00E875CF">
              <w:rPr>
                <w:sz w:val="18"/>
                <w:szCs w:val="18"/>
              </w:rPr>
              <w:t xml:space="preserve">     </w:t>
            </w:r>
            <w:r w:rsidRPr="00E875CF">
              <w:rPr>
                <w:sz w:val="18"/>
                <w:szCs w:val="18"/>
                <w:lang w:val="en-US"/>
              </w:rPr>
              <w:t xml:space="preserve"> </w:t>
            </w:r>
            <w:r w:rsidRPr="00E875CF">
              <w:rPr>
                <w:sz w:val="18"/>
                <w:szCs w:val="18"/>
              </w:rPr>
              <w:t>Други данъци</w:t>
            </w:r>
          </w:p>
        </w:tc>
        <w:tc>
          <w:tcPr>
            <w:tcW w:w="1644" w:type="dxa"/>
            <w:tcBorders>
              <w:top w:val="nil"/>
              <w:left w:val="nil"/>
              <w:bottom w:val="nil"/>
              <w:right w:val="nil"/>
            </w:tcBorders>
            <w:shd w:val="clear" w:color="auto" w:fill="auto"/>
            <w:noWrap/>
            <w:vAlign w:val="bottom"/>
          </w:tcPr>
          <w:p w14:paraId="30862E9B" w14:textId="77777777" w:rsidR="000B0BED" w:rsidRDefault="000B0BED" w:rsidP="008E3CF5">
            <w:pPr>
              <w:jc w:val="right"/>
              <w:rPr>
                <w:sz w:val="18"/>
                <w:szCs w:val="18"/>
              </w:rPr>
            </w:pPr>
            <w:r>
              <w:rPr>
                <w:sz w:val="18"/>
                <w:szCs w:val="18"/>
              </w:rPr>
              <w:t>107,3</w:t>
            </w:r>
          </w:p>
        </w:tc>
        <w:tc>
          <w:tcPr>
            <w:tcW w:w="1510" w:type="dxa"/>
            <w:tcBorders>
              <w:top w:val="nil"/>
              <w:left w:val="nil"/>
              <w:bottom w:val="nil"/>
              <w:right w:val="nil"/>
            </w:tcBorders>
            <w:shd w:val="clear" w:color="auto" w:fill="auto"/>
            <w:noWrap/>
            <w:vAlign w:val="bottom"/>
          </w:tcPr>
          <w:p w14:paraId="26B6CD99" w14:textId="77777777" w:rsidR="000B0BED" w:rsidRDefault="000B0BED" w:rsidP="008E3CF5">
            <w:pPr>
              <w:jc w:val="right"/>
              <w:rPr>
                <w:sz w:val="18"/>
                <w:szCs w:val="18"/>
              </w:rPr>
            </w:pPr>
            <w:r>
              <w:rPr>
                <w:sz w:val="18"/>
                <w:szCs w:val="18"/>
              </w:rPr>
              <w:t>217,8</w:t>
            </w:r>
          </w:p>
        </w:tc>
        <w:tc>
          <w:tcPr>
            <w:tcW w:w="1405" w:type="dxa"/>
            <w:tcBorders>
              <w:top w:val="nil"/>
              <w:left w:val="nil"/>
              <w:bottom w:val="nil"/>
              <w:right w:val="single" w:sz="4" w:space="0" w:color="auto"/>
            </w:tcBorders>
            <w:shd w:val="clear" w:color="auto" w:fill="auto"/>
            <w:noWrap/>
            <w:vAlign w:val="bottom"/>
          </w:tcPr>
          <w:p w14:paraId="4DFA1F87" w14:textId="77777777" w:rsidR="000B0BED" w:rsidRDefault="000B0BED" w:rsidP="008E3CF5">
            <w:pPr>
              <w:jc w:val="right"/>
              <w:rPr>
                <w:sz w:val="18"/>
                <w:szCs w:val="18"/>
              </w:rPr>
            </w:pPr>
            <w:r>
              <w:rPr>
                <w:sz w:val="18"/>
                <w:szCs w:val="18"/>
              </w:rPr>
              <w:t>202,9%</w:t>
            </w:r>
          </w:p>
        </w:tc>
      </w:tr>
      <w:tr w:rsidR="000B0BED" w:rsidRPr="008C38D6" w14:paraId="15218F10" w14:textId="77777777" w:rsidTr="008E3CF5">
        <w:trPr>
          <w:trHeight w:val="165"/>
          <w:jc w:val="center"/>
        </w:trPr>
        <w:tc>
          <w:tcPr>
            <w:tcW w:w="4654" w:type="dxa"/>
            <w:tcBorders>
              <w:left w:val="single" w:sz="8" w:space="0" w:color="auto"/>
              <w:right w:val="single" w:sz="4" w:space="0" w:color="auto"/>
            </w:tcBorders>
            <w:shd w:val="clear" w:color="auto" w:fill="auto"/>
            <w:noWrap/>
            <w:vAlign w:val="bottom"/>
          </w:tcPr>
          <w:p w14:paraId="62B547AB" w14:textId="77777777" w:rsidR="000B0BED" w:rsidRPr="00E875CF" w:rsidRDefault="000B0BED" w:rsidP="008E3CF5">
            <w:pPr>
              <w:rPr>
                <w:sz w:val="18"/>
                <w:szCs w:val="18"/>
              </w:rPr>
            </w:pPr>
            <w:r w:rsidRPr="00E875CF">
              <w:rPr>
                <w:sz w:val="18"/>
                <w:szCs w:val="18"/>
              </w:rPr>
              <w:t xml:space="preserve">   -Неданъчни приходи</w:t>
            </w:r>
          </w:p>
        </w:tc>
        <w:tc>
          <w:tcPr>
            <w:tcW w:w="1644" w:type="dxa"/>
            <w:tcBorders>
              <w:top w:val="nil"/>
              <w:left w:val="nil"/>
              <w:bottom w:val="nil"/>
              <w:right w:val="nil"/>
            </w:tcBorders>
            <w:shd w:val="clear" w:color="auto" w:fill="auto"/>
            <w:noWrap/>
            <w:vAlign w:val="bottom"/>
          </w:tcPr>
          <w:p w14:paraId="5F8B54B2" w14:textId="77777777" w:rsidR="000B0BED" w:rsidRDefault="000B0BED" w:rsidP="008E3CF5">
            <w:pPr>
              <w:jc w:val="right"/>
              <w:rPr>
                <w:sz w:val="18"/>
                <w:szCs w:val="18"/>
              </w:rPr>
            </w:pPr>
            <w:r>
              <w:rPr>
                <w:sz w:val="18"/>
                <w:szCs w:val="18"/>
              </w:rPr>
              <w:t>1 566,8</w:t>
            </w:r>
          </w:p>
        </w:tc>
        <w:tc>
          <w:tcPr>
            <w:tcW w:w="1510" w:type="dxa"/>
            <w:tcBorders>
              <w:top w:val="nil"/>
              <w:left w:val="nil"/>
              <w:bottom w:val="nil"/>
              <w:right w:val="nil"/>
            </w:tcBorders>
            <w:shd w:val="clear" w:color="auto" w:fill="auto"/>
            <w:noWrap/>
            <w:vAlign w:val="bottom"/>
          </w:tcPr>
          <w:p w14:paraId="7F3D07E1" w14:textId="77777777" w:rsidR="000B0BED" w:rsidRDefault="000B0BED" w:rsidP="008E3CF5">
            <w:pPr>
              <w:jc w:val="right"/>
              <w:rPr>
                <w:sz w:val="18"/>
                <w:szCs w:val="18"/>
              </w:rPr>
            </w:pPr>
            <w:r>
              <w:rPr>
                <w:sz w:val="18"/>
                <w:szCs w:val="18"/>
              </w:rPr>
              <w:t>2 729,5</w:t>
            </w:r>
          </w:p>
        </w:tc>
        <w:tc>
          <w:tcPr>
            <w:tcW w:w="1405" w:type="dxa"/>
            <w:tcBorders>
              <w:top w:val="nil"/>
              <w:left w:val="nil"/>
              <w:bottom w:val="nil"/>
              <w:right w:val="single" w:sz="4" w:space="0" w:color="auto"/>
            </w:tcBorders>
            <w:shd w:val="clear" w:color="auto" w:fill="auto"/>
            <w:noWrap/>
            <w:vAlign w:val="bottom"/>
          </w:tcPr>
          <w:p w14:paraId="63642D0F" w14:textId="77777777" w:rsidR="000B0BED" w:rsidRDefault="000B0BED" w:rsidP="008E3CF5">
            <w:pPr>
              <w:jc w:val="right"/>
              <w:rPr>
                <w:sz w:val="18"/>
                <w:szCs w:val="18"/>
              </w:rPr>
            </w:pPr>
            <w:r>
              <w:rPr>
                <w:sz w:val="18"/>
                <w:szCs w:val="18"/>
              </w:rPr>
              <w:t>174,2%</w:t>
            </w:r>
          </w:p>
        </w:tc>
      </w:tr>
      <w:tr w:rsidR="000B0BED" w:rsidRPr="008C38D6" w14:paraId="0EF177AA" w14:textId="77777777" w:rsidTr="008E3CF5">
        <w:trPr>
          <w:trHeight w:val="165"/>
          <w:jc w:val="center"/>
        </w:trPr>
        <w:tc>
          <w:tcPr>
            <w:tcW w:w="4654" w:type="dxa"/>
            <w:tcBorders>
              <w:left w:val="single" w:sz="8" w:space="0" w:color="auto"/>
              <w:bottom w:val="single" w:sz="4" w:space="0" w:color="auto"/>
              <w:right w:val="single" w:sz="4" w:space="0" w:color="auto"/>
            </w:tcBorders>
            <w:shd w:val="clear" w:color="auto" w:fill="auto"/>
            <w:noWrap/>
            <w:vAlign w:val="bottom"/>
          </w:tcPr>
          <w:p w14:paraId="437A20E5" w14:textId="77777777" w:rsidR="000B0BED" w:rsidRPr="00E875CF" w:rsidRDefault="000B0BED" w:rsidP="008E3CF5">
            <w:pPr>
              <w:rPr>
                <w:sz w:val="18"/>
                <w:szCs w:val="18"/>
              </w:rPr>
            </w:pPr>
            <w:r w:rsidRPr="00E875CF">
              <w:rPr>
                <w:sz w:val="18"/>
                <w:szCs w:val="18"/>
              </w:rPr>
              <w:t xml:space="preserve">   -Помощи и дарения</w:t>
            </w:r>
          </w:p>
        </w:tc>
        <w:tc>
          <w:tcPr>
            <w:tcW w:w="1644" w:type="dxa"/>
            <w:tcBorders>
              <w:top w:val="nil"/>
              <w:left w:val="nil"/>
              <w:bottom w:val="nil"/>
              <w:right w:val="nil"/>
            </w:tcBorders>
            <w:shd w:val="clear" w:color="auto" w:fill="auto"/>
            <w:noWrap/>
            <w:vAlign w:val="bottom"/>
          </w:tcPr>
          <w:p w14:paraId="3F4CC0FE" w14:textId="77777777" w:rsidR="000B0BED" w:rsidRDefault="000B0BED" w:rsidP="008E3CF5">
            <w:pPr>
              <w:jc w:val="right"/>
              <w:rPr>
                <w:sz w:val="18"/>
                <w:szCs w:val="18"/>
              </w:rPr>
            </w:pPr>
            <w:r>
              <w:rPr>
                <w:sz w:val="18"/>
                <w:szCs w:val="18"/>
              </w:rPr>
              <w:t>2,3</w:t>
            </w:r>
          </w:p>
        </w:tc>
        <w:tc>
          <w:tcPr>
            <w:tcW w:w="1510" w:type="dxa"/>
            <w:tcBorders>
              <w:top w:val="nil"/>
              <w:left w:val="nil"/>
              <w:bottom w:val="nil"/>
              <w:right w:val="nil"/>
            </w:tcBorders>
            <w:shd w:val="clear" w:color="auto" w:fill="auto"/>
            <w:noWrap/>
            <w:vAlign w:val="bottom"/>
          </w:tcPr>
          <w:p w14:paraId="7E9494E7" w14:textId="77777777" w:rsidR="000B0BED" w:rsidRDefault="000B0BED" w:rsidP="008E3CF5">
            <w:pPr>
              <w:jc w:val="right"/>
              <w:rPr>
                <w:sz w:val="18"/>
                <w:szCs w:val="18"/>
              </w:rPr>
            </w:pPr>
            <w:r>
              <w:rPr>
                <w:sz w:val="18"/>
                <w:szCs w:val="18"/>
              </w:rPr>
              <w:t>2,6</w:t>
            </w:r>
          </w:p>
        </w:tc>
        <w:tc>
          <w:tcPr>
            <w:tcW w:w="1405" w:type="dxa"/>
            <w:tcBorders>
              <w:top w:val="nil"/>
              <w:left w:val="nil"/>
              <w:bottom w:val="single" w:sz="4" w:space="0" w:color="auto"/>
              <w:right w:val="single" w:sz="4" w:space="0" w:color="auto"/>
            </w:tcBorders>
            <w:shd w:val="clear" w:color="auto" w:fill="auto"/>
            <w:noWrap/>
            <w:vAlign w:val="bottom"/>
          </w:tcPr>
          <w:p w14:paraId="252170CF" w14:textId="77777777" w:rsidR="000B0BED" w:rsidRDefault="000B0BED" w:rsidP="008E3CF5">
            <w:pPr>
              <w:jc w:val="right"/>
              <w:rPr>
                <w:sz w:val="18"/>
                <w:szCs w:val="18"/>
              </w:rPr>
            </w:pPr>
            <w:r>
              <w:rPr>
                <w:sz w:val="18"/>
                <w:szCs w:val="18"/>
              </w:rPr>
              <w:t>113,4%</w:t>
            </w:r>
          </w:p>
        </w:tc>
      </w:tr>
      <w:tr w:rsidR="000B0BED" w:rsidRPr="008C38D6" w14:paraId="1E332E75" w14:textId="77777777" w:rsidTr="008E3CF5">
        <w:trPr>
          <w:trHeight w:val="199"/>
          <w:jc w:val="center"/>
        </w:trPr>
        <w:tc>
          <w:tcPr>
            <w:tcW w:w="46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86CA7" w14:textId="77777777" w:rsidR="000B0BED" w:rsidRPr="00E875CF" w:rsidRDefault="000B0BED" w:rsidP="008E3CF5">
            <w:pPr>
              <w:rPr>
                <w:b/>
                <w:bCs/>
                <w:sz w:val="18"/>
                <w:szCs w:val="18"/>
                <w:lang w:val="ru-RU"/>
              </w:rPr>
            </w:pPr>
            <w:r w:rsidRPr="00E875CF">
              <w:rPr>
                <w:b/>
                <w:bCs/>
                <w:sz w:val="18"/>
                <w:szCs w:val="18"/>
              </w:rPr>
              <w:t xml:space="preserve"> Разходи, трансфери и вноска в бюджета на ЕС</w:t>
            </w:r>
          </w:p>
        </w:tc>
        <w:tc>
          <w:tcPr>
            <w:tcW w:w="1644" w:type="dxa"/>
            <w:tcBorders>
              <w:top w:val="single" w:sz="4" w:space="0" w:color="auto"/>
              <w:left w:val="single" w:sz="8" w:space="0" w:color="auto"/>
              <w:bottom w:val="single" w:sz="4" w:space="0" w:color="auto"/>
              <w:right w:val="nil"/>
            </w:tcBorders>
            <w:shd w:val="clear" w:color="auto" w:fill="auto"/>
            <w:noWrap/>
            <w:vAlign w:val="bottom"/>
          </w:tcPr>
          <w:p w14:paraId="6CBD2FD6" w14:textId="77777777" w:rsidR="000B0BED" w:rsidRDefault="000B0BED" w:rsidP="008E3CF5">
            <w:pPr>
              <w:jc w:val="right"/>
              <w:rPr>
                <w:b/>
                <w:bCs/>
                <w:sz w:val="18"/>
                <w:szCs w:val="18"/>
              </w:rPr>
            </w:pPr>
            <w:r>
              <w:rPr>
                <w:b/>
                <w:bCs/>
                <w:sz w:val="18"/>
                <w:szCs w:val="18"/>
              </w:rPr>
              <w:t>16 882,5</w:t>
            </w:r>
          </w:p>
        </w:tc>
        <w:tc>
          <w:tcPr>
            <w:tcW w:w="1510" w:type="dxa"/>
            <w:tcBorders>
              <w:top w:val="single" w:sz="4" w:space="0" w:color="auto"/>
              <w:left w:val="nil"/>
              <w:bottom w:val="single" w:sz="4" w:space="0" w:color="auto"/>
              <w:right w:val="nil"/>
            </w:tcBorders>
            <w:shd w:val="clear" w:color="auto" w:fill="auto"/>
            <w:noWrap/>
            <w:vAlign w:val="bottom"/>
          </w:tcPr>
          <w:p w14:paraId="30E11789" w14:textId="77777777" w:rsidR="000B0BED" w:rsidRDefault="000B0BED" w:rsidP="008E3CF5">
            <w:pPr>
              <w:jc w:val="right"/>
              <w:rPr>
                <w:b/>
                <w:bCs/>
                <w:sz w:val="18"/>
                <w:szCs w:val="18"/>
              </w:rPr>
            </w:pPr>
            <w:r>
              <w:rPr>
                <w:b/>
                <w:bCs/>
                <w:sz w:val="18"/>
                <w:szCs w:val="18"/>
              </w:rPr>
              <w:t>19 199,8</w:t>
            </w:r>
          </w:p>
        </w:tc>
        <w:tc>
          <w:tcPr>
            <w:tcW w:w="1405" w:type="dxa"/>
            <w:tcBorders>
              <w:top w:val="single" w:sz="4" w:space="0" w:color="auto"/>
              <w:left w:val="nil"/>
              <w:bottom w:val="single" w:sz="4" w:space="0" w:color="auto"/>
              <w:right w:val="single" w:sz="4" w:space="0" w:color="auto"/>
            </w:tcBorders>
            <w:shd w:val="clear" w:color="auto" w:fill="auto"/>
            <w:noWrap/>
            <w:vAlign w:val="bottom"/>
          </w:tcPr>
          <w:p w14:paraId="4650A0BC" w14:textId="77777777" w:rsidR="000B0BED" w:rsidRDefault="000B0BED" w:rsidP="008E3CF5">
            <w:pPr>
              <w:jc w:val="right"/>
              <w:rPr>
                <w:b/>
                <w:bCs/>
                <w:sz w:val="18"/>
                <w:szCs w:val="18"/>
              </w:rPr>
            </w:pPr>
            <w:r>
              <w:rPr>
                <w:b/>
                <w:bCs/>
                <w:sz w:val="18"/>
                <w:szCs w:val="18"/>
              </w:rPr>
              <w:t>113,7%</w:t>
            </w:r>
          </w:p>
        </w:tc>
      </w:tr>
      <w:tr w:rsidR="000B0BED" w:rsidRPr="008C38D6" w14:paraId="15D8FA06" w14:textId="77777777" w:rsidTr="008E3CF5">
        <w:trPr>
          <w:trHeight w:val="101"/>
          <w:jc w:val="center"/>
        </w:trPr>
        <w:tc>
          <w:tcPr>
            <w:tcW w:w="4654" w:type="dxa"/>
            <w:tcBorders>
              <w:top w:val="single" w:sz="4" w:space="0" w:color="auto"/>
              <w:left w:val="single" w:sz="4" w:space="0" w:color="auto"/>
              <w:bottom w:val="nil"/>
              <w:right w:val="single" w:sz="4" w:space="0" w:color="auto"/>
            </w:tcBorders>
            <w:shd w:val="clear" w:color="auto" w:fill="auto"/>
            <w:noWrap/>
            <w:vAlign w:val="bottom"/>
          </w:tcPr>
          <w:p w14:paraId="2C89F008" w14:textId="77777777" w:rsidR="000B0BED" w:rsidRPr="00E875CF" w:rsidRDefault="000B0BED" w:rsidP="008E3CF5">
            <w:pPr>
              <w:rPr>
                <w:b/>
                <w:i/>
                <w:sz w:val="18"/>
                <w:szCs w:val="18"/>
              </w:rPr>
            </w:pPr>
            <w:r w:rsidRPr="00E875CF">
              <w:rPr>
                <w:b/>
                <w:i/>
                <w:sz w:val="18"/>
                <w:szCs w:val="18"/>
              </w:rPr>
              <w:t xml:space="preserve">   -Нелихвени разходи</w:t>
            </w:r>
          </w:p>
        </w:tc>
        <w:tc>
          <w:tcPr>
            <w:tcW w:w="1644" w:type="dxa"/>
            <w:tcBorders>
              <w:top w:val="nil"/>
              <w:left w:val="nil"/>
              <w:bottom w:val="nil"/>
              <w:right w:val="nil"/>
            </w:tcBorders>
            <w:shd w:val="clear" w:color="auto" w:fill="auto"/>
            <w:noWrap/>
            <w:vAlign w:val="bottom"/>
          </w:tcPr>
          <w:p w14:paraId="42CA3F38" w14:textId="77777777" w:rsidR="000B0BED" w:rsidRDefault="000B0BED" w:rsidP="008E3CF5">
            <w:pPr>
              <w:jc w:val="right"/>
              <w:rPr>
                <w:sz w:val="18"/>
                <w:szCs w:val="18"/>
              </w:rPr>
            </w:pPr>
            <w:r>
              <w:rPr>
                <w:sz w:val="18"/>
                <w:szCs w:val="18"/>
              </w:rPr>
              <w:t>6 842,3</w:t>
            </w:r>
          </w:p>
        </w:tc>
        <w:tc>
          <w:tcPr>
            <w:tcW w:w="1510" w:type="dxa"/>
            <w:tcBorders>
              <w:top w:val="nil"/>
              <w:left w:val="nil"/>
              <w:bottom w:val="nil"/>
              <w:right w:val="nil"/>
            </w:tcBorders>
            <w:shd w:val="clear" w:color="auto" w:fill="auto"/>
            <w:noWrap/>
            <w:vAlign w:val="bottom"/>
          </w:tcPr>
          <w:p w14:paraId="63E818CA" w14:textId="77777777" w:rsidR="000B0BED" w:rsidRDefault="000B0BED" w:rsidP="008E3CF5">
            <w:pPr>
              <w:jc w:val="right"/>
              <w:rPr>
                <w:sz w:val="18"/>
                <w:szCs w:val="18"/>
              </w:rPr>
            </w:pPr>
            <w:r>
              <w:rPr>
                <w:sz w:val="18"/>
                <w:szCs w:val="18"/>
              </w:rPr>
              <w:t>7 347,9</w:t>
            </w:r>
          </w:p>
        </w:tc>
        <w:tc>
          <w:tcPr>
            <w:tcW w:w="1405" w:type="dxa"/>
            <w:tcBorders>
              <w:top w:val="nil"/>
              <w:left w:val="nil"/>
              <w:bottom w:val="nil"/>
              <w:right w:val="single" w:sz="4" w:space="0" w:color="auto"/>
            </w:tcBorders>
            <w:shd w:val="clear" w:color="auto" w:fill="auto"/>
            <w:noWrap/>
            <w:vAlign w:val="bottom"/>
          </w:tcPr>
          <w:p w14:paraId="5A0BE83B" w14:textId="77777777" w:rsidR="000B0BED" w:rsidRDefault="000B0BED" w:rsidP="008E3CF5">
            <w:pPr>
              <w:jc w:val="right"/>
              <w:rPr>
                <w:sz w:val="18"/>
                <w:szCs w:val="18"/>
              </w:rPr>
            </w:pPr>
            <w:r>
              <w:rPr>
                <w:sz w:val="18"/>
                <w:szCs w:val="18"/>
              </w:rPr>
              <w:t>107,4%</w:t>
            </w:r>
          </w:p>
        </w:tc>
      </w:tr>
      <w:tr w:rsidR="000B0BED" w:rsidRPr="008C38D6" w14:paraId="75DCBFDF" w14:textId="77777777" w:rsidTr="008E3CF5">
        <w:trPr>
          <w:trHeight w:val="80"/>
          <w:jc w:val="center"/>
        </w:trPr>
        <w:tc>
          <w:tcPr>
            <w:tcW w:w="4654" w:type="dxa"/>
            <w:tcBorders>
              <w:top w:val="nil"/>
              <w:left w:val="single" w:sz="4" w:space="0" w:color="auto"/>
              <w:bottom w:val="nil"/>
              <w:right w:val="single" w:sz="4" w:space="0" w:color="auto"/>
            </w:tcBorders>
            <w:shd w:val="clear" w:color="auto" w:fill="auto"/>
            <w:noWrap/>
            <w:vAlign w:val="bottom"/>
          </w:tcPr>
          <w:p w14:paraId="3FFC82CF" w14:textId="77777777" w:rsidR="000B0BED" w:rsidRPr="00E875CF" w:rsidRDefault="000B0BED" w:rsidP="008E3CF5">
            <w:pPr>
              <w:rPr>
                <w:sz w:val="18"/>
                <w:szCs w:val="18"/>
              </w:rPr>
            </w:pPr>
            <w:r w:rsidRPr="00E875CF">
              <w:rPr>
                <w:sz w:val="18"/>
                <w:szCs w:val="18"/>
              </w:rPr>
              <w:t xml:space="preserve">      Текущи </w:t>
            </w:r>
          </w:p>
        </w:tc>
        <w:tc>
          <w:tcPr>
            <w:tcW w:w="1644" w:type="dxa"/>
            <w:tcBorders>
              <w:top w:val="nil"/>
              <w:left w:val="nil"/>
              <w:bottom w:val="nil"/>
              <w:right w:val="nil"/>
            </w:tcBorders>
            <w:shd w:val="clear" w:color="auto" w:fill="auto"/>
            <w:noWrap/>
            <w:vAlign w:val="bottom"/>
          </w:tcPr>
          <w:p w14:paraId="553315BE" w14:textId="77777777" w:rsidR="000B0BED" w:rsidRDefault="000B0BED" w:rsidP="008E3CF5">
            <w:pPr>
              <w:jc w:val="right"/>
              <w:rPr>
                <w:sz w:val="18"/>
                <w:szCs w:val="18"/>
              </w:rPr>
            </w:pPr>
            <w:r>
              <w:rPr>
                <w:sz w:val="18"/>
                <w:szCs w:val="18"/>
              </w:rPr>
              <w:t>6 492,7</w:t>
            </w:r>
          </w:p>
        </w:tc>
        <w:tc>
          <w:tcPr>
            <w:tcW w:w="1510" w:type="dxa"/>
            <w:tcBorders>
              <w:top w:val="nil"/>
              <w:left w:val="nil"/>
              <w:bottom w:val="nil"/>
              <w:right w:val="nil"/>
            </w:tcBorders>
            <w:shd w:val="clear" w:color="auto" w:fill="auto"/>
            <w:noWrap/>
            <w:vAlign w:val="bottom"/>
          </w:tcPr>
          <w:p w14:paraId="23D5EBFF" w14:textId="77777777" w:rsidR="000B0BED" w:rsidRDefault="000B0BED" w:rsidP="008E3CF5">
            <w:pPr>
              <w:jc w:val="right"/>
              <w:rPr>
                <w:sz w:val="18"/>
                <w:szCs w:val="18"/>
              </w:rPr>
            </w:pPr>
            <w:r>
              <w:rPr>
                <w:sz w:val="18"/>
                <w:szCs w:val="18"/>
              </w:rPr>
              <w:t>6 767,7</w:t>
            </w:r>
          </w:p>
        </w:tc>
        <w:tc>
          <w:tcPr>
            <w:tcW w:w="1405" w:type="dxa"/>
            <w:tcBorders>
              <w:top w:val="nil"/>
              <w:left w:val="nil"/>
              <w:bottom w:val="nil"/>
              <w:right w:val="single" w:sz="4" w:space="0" w:color="auto"/>
            </w:tcBorders>
            <w:shd w:val="clear" w:color="auto" w:fill="auto"/>
            <w:noWrap/>
            <w:vAlign w:val="bottom"/>
          </w:tcPr>
          <w:p w14:paraId="60CB6489" w14:textId="77777777" w:rsidR="000B0BED" w:rsidRDefault="000B0BED" w:rsidP="008E3CF5">
            <w:pPr>
              <w:jc w:val="right"/>
              <w:rPr>
                <w:sz w:val="18"/>
                <w:szCs w:val="18"/>
              </w:rPr>
            </w:pPr>
            <w:r>
              <w:rPr>
                <w:sz w:val="18"/>
                <w:szCs w:val="18"/>
              </w:rPr>
              <w:t>104,2%</w:t>
            </w:r>
          </w:p>
        </w:tc>
      </w:tr>
      <w:tr w:rsidR="000B0BED" w:rsidRPr="008C38D6" w14:paraId="5E1CC4CF" w14:textId="77777777" w:rsidTr="008E3CF5">
        <w:trPr>
          <w:trHeight w:val="80"/>
          <w:jc w:val="center"/>
        </w:trPr>
        <w:tc>
          <w:tcPr>
            <w:tcW w:w="4654" w:type="dxa"/>
            <w:tcBorders>
              <w:top w:val="nil"/>
              <w:left w:val="single" w:sz="4" w:space="0" w:color="auto"/>
              <w:bottom w:val="nil"/>
              <w:right w:val="single" w:sz="4" w:space="0" w:color="auto"/>
            </w:tcBorders>
            <w:shd w:val="clear" w:color="auto" w:fill="auto"/>
            <w:noWrap/>
            <w:vAlign w:val="bottom"/>
          </w:tcPr>
          <w:p w14:paraId="30B9C1A1" w14:textId="77777777" w:rsidR="000B0BED" w:rsidRPr="00E875CF" w:rsidRDefault="000B0BED" w:rsidP="008E3CF5">
            <w:pPr>
              <w:rPr>
                <w:sz w:val="18"/>
                <w:szCs w:val="18"/>
              </w:rPr>
            </w:pPr>
            <w:r w:rsidRPr="00E875CF">
              <w:rPr>
                <w:sz w:val="18"/>
                <w:szCs w:val="18"/>
              </w:rPr>
              <w:t xml:space="preserve">      Предоставени тек. и капит. трансфери за чужбина</w:t>
            </w:r>
          </w:p>
        </w:tc>
        <w:tc>
          <w:tcPr>
            <w:tcW w:w="1644" w:type="dxa"/>
            <w:tcBorders>
              <w:top w:val="nil"/>
              <w:left w:val="nil"/>
              <w:bottom w:val="nil"/>
              <w:right w:val="nil"/>
            </w:tcBorders>
            <w:shd w:val="clear" w:color="auto" w:fill="auto"/>
            <w:noWrap/>
            <w:vAlign w:val="bottom"/>
          </w:tcPr>
          <w:p w14:paraId="6145FB74" w14:textId="77777777" w:rsidR="000B0BED" w:rsidRDefault="000B0BED" w:rsidP="008E3CF5">
            <w:pPr>
              <w:jc w:val="right"/>
              <w:rPr>
                <w:sz w:val="18"/>
                <w:szCs w:val="18"/>
              </w:rPr>
            </w:pPr>
            <w:r>
              <w:rPr>
                <w:sz w:val="18"/>
                <w:szCs w:val="18"/>
              </w:rPr>
              <w:t>2,4</w:t>
            </w:r>
          </w:p>
        </w:tc>
        <w:tc>
          <w:tcPr>
            <w:tcW w:w="1510" w:type="dxa"/>
            <w:tcBorders>
              <w:top w:val="nil"/>
              <w:left w:val="nil"/>
              <w:bottom w:val="nil"/>
              <w:right w:val="nil"/>
            </w:tcBorders>
            <w:shd w:val="clear" w:color="auto" w:fill="auto"/>
            <w:noWrap/>
            <w:vAlign w:val="bottom"/>
          </w:tcPr>
          <w:p w14:paraId="54CC734C" w14:textId="77777777" w:rsidR="000B0BED" w:rsidRDefault="000B0BED" w:rsidP="008E3CF5">
            <w:pPr>
              <w:jc w:val="right"/>
              <w:rPr>
                <w:sz w:val="18"/>
                <w:szCs w:val="18"/>
              </w:rPr>
            </w:pPr>
            <w:r>
              <w:rPr>
                <w:sz w:val="18"/>
                <w:szCs w:val="18"/>
              </w:rPr>
              <w:t>1,3</w:t>
            </w:r>
          </w:p>
        </w:tc>
        <w:tc>
          <w:tcPr>
            <w:tcW w:w="1405" w:type="dxa"/>
            <w:tcBorders>
              <w:top w:val="nil"/>
              <w:left w:val="nil"/>
              <w:bottom w:val="nil"/>
              <w:right w:val="single" w:sz="4" w:space="0" w:color="auto"/>
            </w:tcBorders>
            <w:shd w:val="clear" w:color="auto" w:fill="auto"/>
            <w:noWrap/>
            <w:vAlign w:val="bottom"/>
          </w:tcPr>
          <w:p w14:paraId="42700280" w14:textId="77777777" w:rsidR="000B0BED" w:rsidRDefault="000B0BED" w:rsidP="008E3CF5">
            <w:pPr>
              <w:jc w:val="right"/>
              <w:rPr>
                <w:sz w:val="18"/>
                <w:szCs w:val="18"/>
              </w:rPr>
            </w:pPr>
            <w:r>
              <w:rPr>
                <w:sz w:val="18"/>
                <w:szCs w:val="18"/>
              </w:rPr>
              <w:t>52,5%</w:t>
            </w:r>
          </w:p>
        </w:tc>
      </w:tr>
      <w:tr w:rsidR="000B0BED" w:rsidRPr="008C38D6" w14:paraId="20046376" w14:textId="77777777" w:rsidTr="008E3CF5">
        <w:trPr>
          <w:trHeight w:val="179"/>
          <w:jc w:val="center"/>
        </w:trPr>
        <w:tc>
          <w:tcPr>
            <w:tcW w:w="4654" w:type="dxa"/>
            <w:tcBorders>
              <w:top w:val="nil"/>
              <w:left w:val="single" w:sz="4" w:space="0" w:color="auto"/>
              <w:bottom w:val="nil"/>
              <w:right w:val="single" w:sz="4" w:space="0" w:color="auto"/>
            </w:tcBorders>
            <w:shd w:val="clear" w:color="auto" w:fill="auto"/>
            <w:noWrap/>
            <w:vAlign w:val="bottom"/>
          </w:tcPr>
          <w:p w14:paraId="10B73103" w14:textId="77777777" w:rsidR="000B0BED" w:rsidRPr="00E875CF" w:rsidRDefault="000B0BED" w:rsidP="008E3CF5">
            <w:pPr>
              <w:rPr>
                <w:sz w:val="18"/>
                <w:szCs w:val="18"/>
              </w:rPr>
            </w:pPr>
            <w:r w:rsidRPr="00E875CF">
              <w:rPr>
                <w:sz w:val="18"/>
                <w:szCs w:val="18"/>
              </w:rPr>
              <w:t xml:space="preserve">      Капиталови</w:t>
            </w:r>
          </w:p>
        </w:tc>
        <w:tc>
          <w:tcPr>
            <w:tcW w:w="1644" w:type="dxa"/>
            <w:tcBorders>
              <w:top w:val="nil"/>
              <w:left w:val="nil"/>
              <w:bottom w:val="nil"/>
              <w:right w:val="nil"/>
            </w:tcBorders>
            <w:shd w:val="clear" w:color="auto" w:fill="auto"/>
            <w:noWrap/>
            <w:vAlign w:val="bottom"/>
          </w:tcPr>
          <w:p w14:paraId="5EE00493" w14:textId="77777777" w:rsidR="000B0BED" w:rsidRDefault="000B0BED" w:rsidP="008E3CF5">
            <w:pPr>
              <w:jc w:val="right"/>
              <w:rPr>
                <w:sz w:val="18"/>
                <w:szCs w:val="18"/>
              </w:rPr>
            </w:pPr>
            <w:r>
              <w:rPr>
                <w:sz w:val="18"/>
                <w:szCs w:val="18"/>
              </w:rPr>
              <w:t>347,2</w:t>
            </w:r>
          </w:p>
        </w:tc>
        <w:tc>
          <w:tcPr>
            <w:tcW w:w="1510" w:type="dxa"/>
            <w:tcBorders>
              <w:top w:val="nil"/>
              <w:left w:val="nil"/>
              <w:bottom w:val="nil"/>
              <w:right w:val="nil"/>
            </w:tcBorders>
            <w:shd w:val="clear" w:color="auto" w:fill="auto"/>
            <w:noWrap/>
            <w:vAlign w:val="bottom"/>
          </w:tcPr>
          <w:p w14:paraId="531C55FD" w14:textId="77777777" w:rsidR="000B0BED" w:rsidRDefault="000B0BED" w:rsidP="008E3CF5">
            <w:pPr>
              <w:jc w:val="right"/>
              <w:rPr>
                <w:sz w:val="18"/>
                <w:szCs w:val="18"/>
              </w:rPr>
            </w:pPr>
            <w:r>
              <w:rPr>
                <w:sz w:val="18"/>
                <w:szCs w:val="18"/>
              </w:rPr>
              <w:t>579,0</w:t>
            </w:r>
          </w:p>
        </w:tc>
        <w:tc>
          <w:tcPr>
            <w:tcW w:w="1405" w:type="dxa"/>
            <w:tcBorders>
              <w:top w:val="nil"/>
              <w:left w:val="nil"/>
              <w:bottom w:val="nil"/>
              <w:right w:val="single" w:sz="4" w:space="0" w:color="auto"/>
            </w:tcBorders>
            <w:shd w:val="clear" w:color="auto" w:fill="auto"/>
            <w:noWrap/>
            <w:vAlign w:val="bottom"/>
          </w:tcPr>
          <w:p w14:paraId="011BBBE8" w14:textId="77777777" w:rsidR="000B0BED" w:rsidRDefault="000B0BED" w:rsidP="008E3CF5">
            <w:pPr>
              <w:jc w:val="right"/>
              <w:rPr>
                <w:sz w:val="18"/>
                <w:szCs w:val="18"/>
              </w:rPr>
            </w:pPr>
            <w:r>
              <w:rPr>
                <w:sz w:val="18"/>
                <w:szCs w:val="18"/>
              </w:rPr>
              <w:t>166,8%</w:t>
            </w:r>
          </w:p>
        </w:tc>
      </w:tr>
      <w:tr w:rsidR="000B0BED" w:rsidRPr="008C38D6" w14:paraId="56935ACB" w14:textId="77777777" w:rsidTr="008E3CF5">
        <w:trPr>
          <w:trHeight w:val="80"/>
          <w:jc w:val="center"/>
        </w:trPr>
        <w:tc>
          <w:tcPr>
            <w:tcW w:w="4654" w:type="dxa"/>
            <w:tcBorders>
              <w:top w:val="nil"/>
              <w:left w:val="single" w:sz="4" w:space="0" w:color="auto"/>
              <w:bottom w:val="nil"/>
              <w:right w:val="single" w:sz="4" w:space="0" w:color="auto"/>
            </w:tcBorders>
            <w:shd w:val="clear" w:color="auto" w:fill="auto"/>
            <w:noWrap/>
            <w:vAlign w:val="bottom"/>
          </w:tcPr>
          <w:p w14:paraId="636877D7" w14:textId="77777777" w:rsidR="000B0BED" w:rsidRPr="00E875CF" w:rsidRDefault="000B0BED" w:rsidP="008E3CF5">
            <w:pPr>
              <w:rPr>
                <w:b/>
                <w:i/>
                <w:sz w:val="18"/>
                <w:szCs w:val="18"/>
              </w:rPr>
            </w:pPr>
            <w:r w:rsidRPr="00E875CF">
              <w:rPr>
                <w:b/>
                <w:i/>
                <w:sz w:val="18"/>
                <w:szCs w:val="18"/>
              </w:rPr>
              <w:t xml:space="preserve">   -Лихви</w:t>
            </w:r>
          </w:p>
        </w:tc>
        <w:tc>
          <w:tcPr>
            <w:tcW w:w="1644" w:type="dxa"/>
            <w:tcBorders>
              <w:top w:val="nil"/>
              <w:left w:val="nil"/>
              <w:bottom w:val="nil"/>
              <w:right w:val="nil"/>
            </w:tcBorders>
            <w:shd w:val="clear" w:color="auto" w:fill="auto"/>
            <w:noWrap/>
            <w:vAlign w:val="bottom"/>
          </w:tcPr>
          <w:p w14:paraId="39CA4D82" w14:textId="77777777" w:rsidR="000B0BED" w:rsidRDefault="000B0BED" w:rsidP="008E3CF5">
            <w:pPr>
              <w:jc w:val="right"/>
              <w:rPr>
                <w:sz w:val="18"/>
                <w:szCs w:val="18"/>
              </w:rPr>
            </w:pPr>
            <w:r>
              <w:rPr>
                <w:sz w:val="18"/>
                <w:szCs w:val="18"/>
              </w:rPr>
              <w:t>368,5</w:t>
            </w:r>
          </w:p>
        </w:tc>
        <w:tc>
          <w:tcPr>
            <w:tcW w:w="1510" w:type="dxa"/>
            <w:tcBorders>
              <w:top w:val="nil"/>
              <w:left w:val="nil"/>
              <w:bottom w:val="nil"/>
              <w:right w:val="nil"/>
            </w:tcBorders>
            <w:shd w:val="clear" w:color="auto" w:fill="auto"/>
            <w:noWrap/>
            <w:vAlign w:val="bottom"/>
          </w:tcPr>
          <w:p w14:paraId="210C40A8" w14:textId="77777777" w:rsidR="000B0BED" w:rsidRDefault="000B0BED" w:rsidP="008E3CF5">
            <w:pPr>
              <w:jc w:val="right"/>
              <w:rPr>
                <w:sz w:val="18"/>
                <w:szCs w:val="18"/>
              </w:rPr>
            </w:pPr>
            <w:r>
              <w:rPr>
                <w:sz w:val="18"/>
                <w:szCs w:val="18"/>
              </w:rPr>
              <w:t>326,9</w:t>
            </w:r>
          </w:p>
        </w:tc>
        <w:tc>
          <w:tcPr>
            <w:tcW w:w="1405" w:type="dxa"/>
            <w:tcBorders>
              <w:top w:val="nil"/>
              <w:left w:val="nil"/>
              <w:bottom w:val="nil"/>
              <w:right w:val="single" w:sz="4" w:space="0" w:color="auto"/>
            </w:tcBorders>
            <w:shd w:val="clear" w:color="auto" w:fill="auto"/>
            <w:noWrap/>
            <w:vAlign w:val="bottom"/>
          </w:tcPr>
          <w:p w14:paraId="6E192AFF" w14:textId="77777777" w:rsidR="000B0BED" w:rsidRDefault="000B0BED" w:rsidP="008E3CF5">
            <w:pPr>
              <w:jc w:val="right"/>
              <w:rPr>
                <w:sz w:val="18"/>
                <w:szCs w:val="18"/>
              </w:rPr>
            </w:pPr>
            <w:r>
              <w:rPr>
                <w:sz w:val="18"/>
                <w:szCs w:val="18"/>
              </w:rPr>
              <w:t>88,7%</w:t>
            </w:r>
          </w:p>
        </w:tc>
      </w:tr>
      <w:tr w:rsidR="000B0BED" w:rsidRPr="008C38D6" w14:paraId="0B626D16" w14:textId="77777777" w:rsidTr="008E3CF5">
        <w:trPr>
          <w:trHeight w:val="80"/>
          <w:jc w:val="center"/>
        </w:trPr>
        <w:tc>
          <w:tcPr>
            <w:tcW w:w="4654" w:type="dxa"/>
            <w:tcBorders>
              <w:top w:val="nil"/>
              <w:left w:val="single" w:sz="4" w:space="0" w:color="auto"/>
              <w:bottom w:val="nil"/>
              <w:right w:val="single" w:sz="4" w:space="0" w:color="auto"/>
            </w:tcBorders>
            <w:shd w:val="clear" w:color="auto" w:fill="auto"/>
            <w:noWrap/>
            <w:vAlign w:val="bottom"/>
          </w:tcPr>
          <w:p w14:paraId="6E0EF5C9" w14:textId="77777777" w:rsidR="000B0BED" w:rsidRPr="00E875CF" w:rsidRDefault="000B0BED" w:rsidP="008E3CF5">
            <w:pPr>
              <w:rPr>
                <w:sz w:val="18"/>
                <w:szCs w:val="18"/>
              </w:rPr>
            </w:pPr>
            <w:r w:rsidRPr="00E875CF">
              <w:rPr>
                <w:sz w:val="18"/>
                <w:szCs w:val="18"/>
              </w:rPr>
              <w:t xml:space="preserve">      По външни заеми</w:t>
            </w:r>
          </w:p>
        </w:tc>
        <w:tc>
          <w:tcPr>
            <w:tcW w:w="1644" w:type="dxa"/>
            <w:tcBorders>
              <w:top w:val="nil"/>
              <w:left w:val="nil"/>
              <w:bottom w:val="nil"/>
              <w:right w:val="nil"/>
            </w:tcBorders>
            <w:shd w:val="clear" w:color="auto" w:fill="auto"/>
            <w:noWrap/>
            <w:vAlign w:val="bottom"/>
          </w:tcPr>
          <w:p w14:paraId="4EF80A44" w14:textId="77777777" w:rsidR="000B0BED" w:rsidRDefault="000B0BED" w:rsidP="008E3CF5">
            <w:pPr>
              <w:jc w:val="right"/>
              <w:rPr>
                <w:sz w:val="18"/>
                <w:szCs w:val="18"/>
              </w:rPr>
            </w:pPr>
            <w:r>
              <w:rPr>
                <w:sz w:val="18"/>
                <w:szCs w:val="18"/>
              </w:rPr>
              <w:t>303,6</w:t>
            </w:r>
          </w:p>
        </w:tc>
        <w:tc>
          <w:tcPr>
            <w:tcW w:w="1510" w:type="dxa"/>
            <w:tcBorders>
              <w:top w:val="nil"/>
              <w:left w:val="nil"/>
              <w:bottom w:val="nil"/>
              <w:right w:val="nil"/>
            </w:tcBorders>
            <w:shd w:val="clear" w:color="auto" w:fill="auto"/>
            <w:noWrap/>
            <w:vAlign w:val="bottom"/>
          </w:tcPr>
          <w:p w14:paraId="1CAEC26C" w14:textId="77777777" w:rsidR="000B0BED" w:rsidRDefault="000B0BED" w:rsidP="008E3CF5">
            <w:pPr>
              <w:jc w:val="right"/>
              <w:rPr>
                <w:sz w:val="18"/>
                <w:szCs w:val="18"/>
              </w:rPr>
            </w:pPr>
            <w:r>
              <w:rPr>
                <w:sz w:val="18"/>
                <w:szCs w:val="18"/>
              </w:rPr>
              <w:t>268,3</w:t>
            </w:r>
          </w:p>
        </w:tc>
        <w:tc>
          <w:tcPr>
            <w:tcW w:w="1405" w:type="dxa"/>
            <w:tcBorders>
              <w:top w:val="nil"/>
              <w:left w:val="nil"/>
              <w:bottom w:val="nil"/>
              <w:right w:val="single" w:sz="4" w:space="0" w:color="auto"/>
            </w:tcBorders>
            <w:shd w:val="clear" w:color="auto" w:fill="auto"/>
            <w:noWrap/>
            <w:vAlign w:val="bottom"/>
          </w:tcPr>
          <w:p w14:paraId="77657C67" w14:textId="77777777" w:rsidR="000B0BED" w:rsidRDefault="000B0BED" w:rsidP="008E3CF5">
            <w:pPr>
              <w:jc w:val="right"/>
              <w:rPr>
                <w:sz w:val="18"/>
                <w:szCs w:val="18"/>
              </w:rPr>
            </w:pPr>
            <w:r>
              <w:rPr>
                <w:sz w:val="18"/>
                <w:szCs w:val="18"/>
              </w:rPr>
              <w:t>88,4%</w:t>
            </w:r>
          </w:p>
        </w:tc>
      </w:tr>
      <w:tr w:rsidR="000B0BED" w:rsidRPr="008C38D6" w14:paraId="48854EB9" w14:textId="77777777" w:rsidTr="008E3CF5">
        <w:trPr>
          <w:trHeight w:val="80"/>
          <w:jc w:val="center"/>
        </w:trPr>
        <w:tc>
          <w:tcPr>
            <w:tcW w:w="4654" w:type="dxa"/>
            <w:tcBorders>
              <w:top w:val="nil"/>
              <w:left w:val="single" w:sz="4" w:space="0" w:color="auto"/>
              <w:right w:val="single" w:sz="4" w:space="0" w:color="auto"/>
            </w:tcBorders>
            <w:shd w:val="clear" w:color="auto" w:fill="auto"/>
            <w:noWrap/>
            <w:vAlign w:val="bottom"/>
          </w:tcPr>
          <w:p w14:paraId="59FFAD99" w14:textId="77777777" w:rsidR="000B0BED" w:rsidRPr="00E875CF" w:rsidRDefault="000B0BED" w:rsidP="008E3CF5">
            <w:pPr>
              <w:rPr>
                <w:sz w:val="18"/>
                <w:szCs w:val="18"/>
              </w:rPr>
            </w:pPr>
            <w:r w:rsidRPr="00E875CF">
              <w:rPr>
                <w:sz w:val="18"/>
                <w:szCs w:val="18"/>
              </w:rPr>
              <w:t xml:space="preserve">      По вътрешни заеми</w:t>
            </w:r>
          </w:p>
        </w:tc>
        <w:tc>
          <w:tcPr>
            <w:tcW w:w="1644" w:type="dxa"/>
            <w:tcBorders>
              <w:top w:val="nil"/>
              <w:left w:val="nil"/>
              <w:bottom w:val="nil"/>
              <w:right w:val="nil"/>
            </w:tcBorders>
            <w:shd w:val="clear" w:color="auto" w:fill="auto"/>
            <w:noWrap/>
            <w:vAlign w:val="bottom"/>
          </w:tcPr>
          <w:p w14:paraId="40B3A0CC" w14:textId="77777777" w:rsidR="000B0BED" w:rsidRDefault="000B0BED" w:rsidP="008E3CF5">
            <w:pPr>
              <w:jc w:val="right"/>
              <w:rPr>
                <w:sz w:val="18"/>
                <w:szCs w:val="18"/>
              </w:rPr>
            </w:pPr>
            <w:r>
              <w:rPr>
                <w:sz w:val="18"/>
                <w:szCs w:val="18"/>
              </w:rPr>
              <w:t>64,9</w:t>
            </w:r>
          </w:p>
        </w:tc>
        <w:tc>
          <w:tcPr>
            <w:tcW w:w="1510" w:type="dxa"/>
            <w:tcBorders>
              <w:top w:val="nil"/>
              <w:left w:val="nil"/>
              <w:bottom w:val="nil"/>
              <w:right w:val="nil"/>
            </w:tcBorders>
            <w:shd w:val="clear" w:color="auto" w:fill="auto"/>
            <w:noWrap/>
            <w:vAlign w:val="bottom"/>
          </w:tcPr>
          <w:p w14:paraId="462C8042" w14:textId="77777777" w:rsidR="000B0BED" w:rsidRDefault="000B0BED" w:rsidP="008E3CF5">
            <w:pPr>
              <w:jc w:val="right"/>
              <w:rPr>
                <w:sz w:val="18"/>
                <w:szCs w:val="18"/>
              </w:rPr>
            </w:pPr>
            <w:r>
              <w:rPr>
                <w:sz w:val="18"/>
                <w:szCs w:val="18"/>
              </w:rPr>
              <w:t>58,7</w:t>
            </w:r>
          </w:p>
        </w:tc>
        <w:tc>
          <w:tcPr>
            <w:tcW w:w="1405" w:type="dxa"/>
            <w:tcBorders>
              <w:top w:val="nil"/>
              <w:left w:val="nil"/>
              <w:bottom w:val="nil"/>
              <w:right w:val="single" w:sz="4" w:space="0" w:color="auto"/>
            </w:tcBorders>
            <w:shd w:val="clear" w:color="auto" w:fill="auto"/>
            <w:noWrap/>
            <w:vAlign w:val="bottom"/>
          </w:tcPr>
          <w:p w14:paraId="34414F20" w14:textId="77777777" w:rsidR="000B0BED" w:rsidRDefault="000B0BED" w:rsidP="008E3CF5">
            <w:pPr>
              <w:jc w:val="right"/>
              <w:rPr>
                <w:sz w:val="18"/>
                <w:szCs w:val="18"/>
              </w:rPr>
            </w:pPr>
            <w:r>
              <w:rPr>
                <w:sz w:val="18"/>
                <w:szCs w:val="18"/>
              </w:rPr>
              <w:t>90,3%</w:t>
            </w:r>
          </w:p>
        </w:tc>
      </w:tr>
      <w:tr w:rsidR="000B0BED" w:rsidRPr="008C38D6" w14:paraId="01BA4557" w14:textId="77777777" w:rsidTr="008E3CF5">
        <w:trPr>
          <w:trHeight w:val="85"/>
          <w:jc w:val="center"/>
        </w:trPr>
        <w:tc>
          <w:tcPr>
            <w:tcW w:w="4654" w:type="dxa"/>
            <w:tcBorders>
              <w:left w:val="single" w:sz="4" w:space="0" w:color="auto"/>
              <w:right w:val="single" w:sz="4" w:space="0" w:color="auto"/>
            </w:tcBorders>
            <w:shd w:val="clear" w:color="auto" w:fill="auto"/>
            <w:noWrap/>
            <w:vAlign w:val="bottom"/>
          </w:tcPr>
          <w:p w14:paraId="3D29EFB7" w14:textId="77777777" w:rsidR="000B0BED" w:rsidRPr="00E875CF" w:rsidRDefault="000B0BED" w:rsidP="008E3CF5">
            <w:pPr>
              <w:rPr>
                <w:b/>
                <w:i/>
                <w:sz w:val="18"/>
                <w:szCs w:val="18"/>
              </w:rPr>
            </w:pPr>
            <w:r w:rsidRPr="00E875CF">
              <w:rPr>
                <w:b/>
                <w:sz w:val="18"/>
                <w:szCs w:val="18"/>
                <w:lang w:val="ru-RU"/>
              </w:rPr>
              <w:t xml:space="preserve"> </w:t>
            </w:r>
            <w:r w:rsidRPr="00E875CF">
              <w:rPr>
                <w:b/>
                <w:bCs/>
                <w:i/>
                <w:sz w:val="18"/>
                <w:szCs w:val="18"/>
              </w:rPr>
              <w:t xml:space="preserve"> -Трансфери за  др. бюджети – нето</w:t>
            </w:r>
          </w:p>
        </w:tc>
        <w:tc>
          <w:tcPr>
            <w:tcW w:w="1644" w:type="dxa"/>
            <w:tcBorders>
              <w:top w:val="nil"/>
              <w:left w:val="nil"/>
              <w:bottom w:val="nil"/>
              <w:right w:val="nil"/>
            </w:tcBorders>
            <w:shd w:val="clear" w:color="auto" w:fill="auto"/>
            <w:noWrap/>
            <w:vAlign w:val="bottom"/>
          </w:tcPr>
          <w:p w14:paraId="0CDE1786" w14:textId="77777777" w:rsidR="000B0BED" w:rsidRDefault="000B0BED" w:rsidP="008E3CF5">
            <w:pPr>
              <w:jc w:val="right"/>
              <w:rPr>
                <w:sz w:val="18"/>
                <w:szCs w:val="18"/>
              </w:rPr>
            </w:pPr>
            <w:r>
              <w:rPr>
                <w:sz w:val="18"/>
                <w:szCs w:val="18"/>
              </w:rPr>
              <w:t>8 858,8</w:t>
            </w:r>
          </w:p>
        </w:tc>
        <w:tc>
          <w:tcPr>
            <w:tcW w:w="1510" w:type="dxa"/>
            <w:tcBorders>
              <w:top w:val="nil"/>
              <w:left w:val="nil"/>
              <w:bottom w:val="nil"/>
              <w:right w:val="nil"/>
            </w:tcBorders>
            <w:shd w:val="clear" w:color="auto" w:fill="auto"/>
            <w:noWrap/>
            <w:vAlign w:val="bottom"/>
          </w:tcPr>
          <w:p w14:paraId="3F393391" w14:textId="77777777" w:rsidR="000B0BED" w:rsidRDefault="000B0BED" w:rsidP="008E3CF5">
            <w:pPr>
              <w:jc w:val="right"/>
              <w:rPr>
                <w:sz w:val="18"/>
                <w:szCs w:val="18"/>
              </w:rPr>
            </w:pPr>
            <w:r>
              <w:rPr>
                <w:sz w:val="18"/>
                <w:szCs w:val="18"/>
              </w:rPr>
              <w:t>10 677,4</w:t>
            </w:r>
          </w:p>
        </w:tc>
        <w:tc>
          <w:tcPr>
            <w:tcW w:w="1405" w:type="dxa"/>
            <w:tcBorders>
              <w:top w:val="nil"/>
              <w:left w:val="nil"/>
              <w:bottom w:val="nil"/>
              <w:right w:val="single" w:sz="4" w:space="0" w:color="auto"/>
            </w:tcBorders>
            <w:shd w:val="clear" w:color="auto" w:fill="auto"/>
            <w:noWrap/>
            <w:vAlign w:val="bottom"/>
          </w:tcPr>
          <w:p w14:paraId="107C0AE2" w14:textId="77777777" w:rsidR="000B0BED" w:rsidRDefault="000B0BED" w:rsidP="008E3CF5">
            <w:pPr>
              <w:jc w:val="right"/>
              <w:rPr>
                <w:sz w:val="18"/>
                <w:szCs w:val="18"/>
              </w:rPr>
            </w:pPr>
            <w:r>
              <w:rPr>
                <w:sz w:val="18"/>
                <w:szCs w:val="18"/>
              </w:rPr>
              <w:t>120,5%</w:t>
            </w:r>
          </w:p>
        </w:tc>
      </w:tr>
      <w:tr w:rsidR="000B0BED" w:rsidRPr="008C38D6" w14:paraId="1C535248" w14:textId="77777777" w:rsidTr="008E3CF5">
        <w:trPr>
          <w:trHeight w:val="85"/>
          <w:jc w:val="center"/>
        </w:trPr>
        <w:tc>
          <w:tcPr>
            <w:tcW w:w="4654" w:type="dxa"/>
            <w:tcBorders>
              <w:left w:val="single" w:sz="4" w:space="0" w:color="auto"/>
              <w:right w:val="single" w:sz="4" w:space="0" w:color="auto"/>
            </w:tcBorders>
            <w:shd w:val="clear" w:color="auto" w:fill="auto"/>
            <w:noWrap/>
            <w:vAlign w:val="bottom"/>
          </w:tcPr>
          <w:p w14:paraId="6202C7C9" w14:textId="77777777" w:rsidR="000B0BED" w:rsidRPr="00E875CF" w:rsidRDefault="000B0BED" w:rsidP="008E3CF5">
            <w:pPr>
              <w:rPr>
                <w:b/>
                <w:sz w:val="18"/>
                <w:szCs w:val="18"/>
              </w:rPr>
            </w:pPr>
            <w:r w:rsidRPr="00E875CF">
              <w:rPr>
                <w:b/>
                <w:bCs/>
                <w:i/>
                <w:sz w:val="18"/>
                <w:szCs w:val="18"/>
              </w:rPr>
              <w:t xml:space="preserve"> </w:t>
            </w:r>
            <w:r w:rsidRPr="00E875CF">
              <w:rPr>
                <w:b/>
                <w:bCs/>
                <w:i/>
                <w:sz w:val="18"/>
                <w:szCs w:val="18"/>
                <w:lang w:val="ru-RU"/>
              </w:rPr>
              <w:t xml:space="preserve"> </w:t>
            </w:r>
            <w:r w:rsidRPr="00E875CF">
              <w:rPr>
                <w:b/>
                <w:bCs/>
                <w:i/>
                <w:sz w:val="18"/>
                <w:szCs w:val="18"/>
              </w:rPr>
              <w:t>-Вноска в бюджета на ЕС</w:t>
            </w:r>
          </w:p>
        </w:tc>
        <w:tc>
          <w:tcPr>
            <w:tcW w:w="1644" w:type="dxa"/>
            <w:tcBorders>
              <w:top w:val="nil"/>
              <w:left w:val="single" w:sz="8" w:space="0" w:color="auto"/>
              <w:bottom w:val="single" w:sz="4" w:space="0" w:color="auto"/>
              <w:right w:val="nil"/>
            </w:tcBorders>
            <w:shd w:val="clear" w:color="auto" w:fill="auto"/>
            <w:noWrap/>
            <w:vAlign w:val="bottom"/>
          </w:tcPr>
          <w:p w14:paraId="1FB7582B" w14:textId="77777777" w:rsidR="000B0BED" w:rsidRDefault="000B0BED" w:rsidP="008E3CF5">
            <w:pPr>
              <w:jc w:val="right"/>
              <w:rPr>
                <w:sz w:val="18"/>
                <w:szCs w:val="18"/>
              </w:rPr>
            </w:pPr>
            <w:r>
              <w:rPr>
                <w:sz w:val="18"/>
                <w:szCs w:val="18"/>
              </w:rPr>
              <w:t>812,8</w:t>
            </w:r>
          </w:p>
        </w:tc>
        <w:tc>
          <w:tcPr>
            <w:tcW w:w="1510" w:type="dxa"/>
            <w:tcBorders>
              <w:top w:val="nil"/>
              <w:left w:val="nil"/>
              <w:bottom w:val="single" w:sz="4" w:space="0" w:color="auto"/>
              <w:right w:val="nil"/>
            </w:tcBorders>
            <w:shd w:val="clear" w:color="auto" w:fill="auto"/>
            <w:noWrap/>
            <w:vAlign w:val="bottom"/>
          </w:tcPr>
          <w:p w14:paraId="57BE348C" w14:textId="77777777" w:rsidR="000B0BED" w:rsidRDefault="000B0BED" w:rsidP="008E3CF5">
            <w:pPr>
              <w:jc w:val="right"/>
              <w:rPr>
                <w:sz w:val="18"/>
                <w:szCs w:val="18"/>
              </w:rPr>
            </w:pPr>
            <w:r>
              <w:rPr>
                <w:sz w:val="18"/>
                <w:szCs w:val="18"/>
              </w:rPr>
              <w:t>847,6</w:t>
            </w:r>
          </w:p>
        </w:tc>
        <w:tc>
          <w:tcPr>
            <w:tcW w:w="1405" w:type="dxa"/>
            <w:tcBorders>
              <w:top w:val="nil"/>
              <w:left w:val="nil"/>
              <w:bottom w:val="single" w:sz="4" w:space="0" w:color="auto"/>
              <w:right w:val="single" w:sz="4" w:space="0" w:color="auto"/>
            </w:tcBorders>
            <w:shd w:val="clear" w:color="auto" w:fill="auto"/>
            <w:noWrap/>
            <w:vAlign w:val="bottom"/>
          </w:tcPr>
          <w:p w14:paraId="36F2D147" w14:textId="77777777" w:rsidR="000B0BED" w:rsidRDefault="000B0BED" w:rsidP="008E3CF5">
            <w:pPr>
              <w:jc w:val="right"/>
              <w:rPr>
                <w:sz w:val="18"/>
                <w:szCs w:val="18"/>
              </w:rPr>
            </w:pPr>
            <w:r>
              <w:rPr>
                <w:sz w:val="18"/>
                <w:szCs w:val="18"/>
              </w:rPr>
              <w:t>104,3%</w:t>
            </w:r>
          </w:p>
        </w:tc>
      </w:tr>
      <w:tr w:rsidR="000B0BED" w:rsidRPr="008C38D6" w14:paraId="0B2DB464" w14:textId="77777777" w:rsidTr="008E3CF5">
        <w:trPr>
          <w:trHeight w:val="70"/>
          <w:jc w:val="center"/>
        </w:trPr>
        <w:tc>
          <w:tcPr>
            <w:tcW w:w="46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8648E" w14:textId="77777777" w:rsidR="000B0BED" w:rsidRPr="00E875CF" w:rsidRDefault="000B0BED" w:rsidP="008E3CF5">
            <w:pPr>
              <w:rPr>
                <w:b/>
                <w:bCs/>
                <w:sz w:val="18"/>
                <w:szCs w:val="18"/>
              </w:rPr>
            </w:pPr>
            <w:r w:rsidRPr="00E875CF">
              <w:rPr>
                <w:b/>
                <w:bCs/>
                <w:sz w:val="18"/>
                <w:szCs w:val="18"/>
              </w:rPr>
              <w:t>Бюджетен баланс</w:t>
            </w:r>
          </w:p>
        </w:tc>
        <w:tc>
          <w:tcPr>
            <w:tcW w:w="1644" w:type="dxa"/>
            <w:tcBorders>
              <w:top w:val="single" w:sz="4" w:space="0" w:color="auto"/>
              <w:left w:val="single" w:sz="8" w:space="0" w:color="auto"/>
              <w:bottom w:val="single" w:sz="8" w:space="0" w:color="auto"/>
              <w:right w:val="nil"/>
            </w:tcBorders>
            <w:shd w:val="clear" w:color="auto" w:fill="auto"/>
            <w:noWrap/>
            <w:vAlign w:val="bottom"/>
          </w:tcPr>
          <w:p w14:paraId="6286719A" w14:textId="77777777" w:rsidR="000B0BED" w:rsidRDefault="000B0BED" w:rsidP="008E3CF5">
            <w:pPr>
              <w:jc w:val="right"/>
              <w:rPr>
                <w:b/>
                <w:bCs/>
                <w:sz w:val="18"/>
                <w:szCs w:val="18"/>
              </w:rPr>
            </w:pPr>
            <w:r>
              <w:rPr>
                <w:b/>
                <w:bCs/>
                <w:sz w:val="18"/>
                <w:szCs w:val="18"/>
              </w:rPr>
              <w:t>-351,3</w:t>
            </w:r>
          </w:p>
        </w:tc>
        <w:tc>
          <w:tcPr>
            <w:tcW w:w="1510" w:type="dxa"/>
            <w:tcBorders>
              <w:top w:val="single" w:sz="4" w:space="0" w:color="auto"/>
              <w:left w:val="nil"/>
              <w:bottom w:val="single" w:sz="8" w:space="0" w:color="auto"/>
              <w:right w:val="nil"/>
            </w:tcBorders>
            <w:shd w:val="clear" w:color="auto" w:fill="auto"/>
            <w:noWrap/>
            <w:vAlign w:val="bottom"/>
          </w:tcPr>
          <w:p w14:paraId="5AC10EDD" w14:textId="77777777" w:rsidR="000B0BED" w:rsidRDefault="000B0BED" w:rsidP="008E3CF5">
            <w:pPr>
              <w:jc w:val="right"/>
              <w:rPr>
                <w:b/>
                <w:bCs/>
                <w:sz w:val="18"/>
                <w:szCs w:val="18"/>
              </w:rPr>
            </w:pPr>
            <w:r>
              <w:rPr>
                <w:b/>
                <w:bCs/>
                <w:sz w:val="18"/>
                <w:szCs w:val="18"/>
              </w:rPr>
              <w:t>-855,8</w:t>
            </w:r>
          </w:p>
        </w:tc>
        <w:tc>
          <w:tcPr>
            <w:tcW w:w="1405" w:type="dxa"/>
            <w:tcBorders>
              <w:top w:val="single" w:sz="4" w:space="0" w:color="auto"/>
              <w:left w:val="nil"/>
              <w:bottom w:val="single" w:sz="4" w:space="0" w:color="auto"/>
              <w:right w:val="single" w:sz="4" w:space="0" w:color="auto"/>
            </w:tcBorders>
            <w:shd w:val="clear" w:color="auto" w:fill="auto"/>
            <w:noWrap/>
            <w:vAlign w:val="bottom"/>
          </w:tcPr>
          <w:p w14:paraId="3B642008" w14:textId="77777777" w:rsidR="000B0BED" w:rsidRDefault="000B0BED" w:rsidP="008E3CF5">
            <w:pPr>
              <w:jc w:val="right"/>
              <w:rPr>
                <w:b/>
                <w:bCs/>
                <w:sz w:val="18"/>
                <w:szCs w:val="18"/>
              </w:rPr>
            </w:pPr>
          </w:p>
        </w:tc>
      </w:tr>
    </w:tbl>
    <w:p w14:paraId="736E1FDD" w14:textId="77777777" w:rsidR="000B0BED" w:rsidRPr="008C38D6" w:rsidRDefault="000B0BED" w:rsidP="000B0BED">
      <w:pPr>
        <w:pStyle w:val="BodyTextIndent"/>
        <w:ind w:left="360"/>
        <w:jc w:val="both"/>
        <w:rPr>
          <w:b/>
          <w:color w:val="0070C0"/>
          <w:sz w:val="12"/>
        </w:rPr>
      </w:pPr>
    </w:p>
    <w:p w14:paraId="62C962AF" w14:textId="77777777" w:rsidR="000B0BED" w:rsidRPr="00DA2BA4" w:rsidRDefault="000B0BED" w:rsidP="000B0BED">
      <w:pPr>
        <w:pStyle w:val="BodyTextIndent"/>
        <w:numPr>
          <w:ilvl w:val="0"/>
          <w:numId w:val="2"/>
        </w:numPr>
        <w:jc w:val="both"/>
        <w:rPr>
          <w:b/>
        </w:rPr>
      </w:pPr>
      <w:r w:rsidRPr="00DA2BA4">
        <w:rPr>
          <w:b/>
          <w:bCs/>
        </w:rPr>
        <w:t xml:space="preserve">Приходи по държавния бюджет </w:t>
      </w:r>
    </w:p>
    <w:p w14:paraId="62DBC816" w14:textId="0E119CC9" w:rsidR="000B0BED" w:rsidRDefault="000B0BED" w:rsidP="000B0BED">
      <w:pPr>
        <w:spacing w:after="120"/>
        <w:jc w:val="both"/>
        <w:rPr>
          <w:bCs/>
        </w:rPr>
      </w:pPr>
      <w:r w:rsidRPr="00A46B79">
        <w:rPr>
          <w:bCs/>
        </w:rPr>
        <w:t>Общият размер на</w:t>
      </w:r>
      <w:r w:rsidRPr="00A46B79">
        <w:rPr>
          <w:b/>
          <w:bCs/>
        </w:rPr>
        <w:t xml:space="preserve"> приходите, помощите и даренията по държавния бюджет</w:t>
      </w:r>
      <w:r w:rsidRPr="00A46B79">
        <w:rPr>
          <w:bCs/>
        </w:rPr>
        <w:t xml:space="preserve"> към юни 2023 г. е</w:t>
      </w:r>
      <w:r w:rsidRPr="00A46B79">
        <w:rPr>
          <w:b/>
          <w:bCs/>
        </w:rPr>
        <w:t xml:space="preserve"> </w:t>
      </w:r>
      <w:r w:rsidRPr="00B019A1">
        <w:rPr>
          <w:b/>
          <w:bCs/>
          <w:lang w:val="ru-RU"/>
        </w:rPr>
        <w:t>18</w:t>
      </w:r>
      <w:r w:rsidRPr="00A46B79">
        <w:rPr>
          <w:b/>
          <w:bCs/>
          <w:lang w:val="en-US"/>
        </w:rPr>
        <w:t> </w:t>
      </w:r>
      <w:r w:rsidRPr="00B019A1">
        <w:rPr>
          <w:b/>
          <w:bCs/>
          <w:lang w:val="ru-RU"/>
        </w:rPr>
        <w:t>344</w:t>
      </w:r>
      <w:r w:rsidRPr="00A46B79">
        <w:rPr>
          <w:b/>
          <w:bCs/>
        </w:rPr>
        <w:t>,</w:t>
      </w:r>
      <w:r w:rsidRPr="00B019A1">
        <w:rPr>
          <w:b/>
          <w:bCs/>
          <w:lang w:val="ru-RU"/>
        </w:rPr>
        <w:t>0</w:t>
      </w:r>
      <w:r w:rsidRPr="00A46B79">
        <w:rPr>
          <w:b/>
          <w:bCs/>
        </w:rPr>
        <w:t xml:space="preserve"> млн. лв.</w:t>
      </w:r>
      <w:r w:rsidRPr="00A46B79">
        <w:rPr>
          <w:bCs/>
        </w:rPr>
        <w:t xml:space="preserve">, което представлява ръст от </w:t>
      </w:r>
      <w:r>
        <w:rPr>
          <w:bCs/>
        </w:rPr>
        <w:t>1 812,9</w:t>
      </w:r>
      <w:r w:rsidRPr="00A46B79">
        <w:rPr>
          <w:bCs/>
        </w:rPr>
        <w:t xml:space="preserve"> млн. лв., </w:t>
      </w:r>
      <w:r>
        <w:rPr>
          <w:bCs/>
        </w:rPr>
        <w:t>11,0</w:t>
      </w:r>
      <w:r w:rsidRPr="00A46B79">
        <w:rPr>
          <w:bCs/>
        </w:rPr>
        <w:t xml:space="preserve"> % спрямо отчетените за същия период на 2022 година.</w:t>
      </w:r>
    </w:p>
    <w:p w14:paraId="54B882D7" w14:textId="5493E822" w:rsidR="001E6889" w:rsidRPr="00A46B79" w:rsidRDefault="001E6889" w:rsidP="001E6889">
      <w:pPr>
        <w:spacing w:after="120"/>
        <w:ind w:firstLine="426"/>
        <w:jc w:val="both"/>
        <w:rPr>
          <w:bCs/>
        </w:rPr>
      </w:pPr>
      <w:r>
        <w:rPr>
          <w:noProof/>
          <w:lang w:eastAsia="bg-BG"/>
        </w:rPr>
        <w:drawing>
          <wp:inline distT="0" distB="0" distL="0" distR="0" wp14:anchorId="493D541E" wp14:editId="7D2F5D61">
            <wp:extent cx="5836036" cy="3101008"/>
            <wp:effectExtent l="0" t="0" r="12700" b="44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497DF24" w14:textId="77777777" w:rsidR="000B0BED" w:rsidRPr="00E73654" w:rsidRDefault="000B0BED" w:rsidP="000B0BED">
      <w:pPr>
        <w:numPr>
          <w:ilvl w:val="0"/>
          <w:numId w:val="3"/>
        </w:numPr>
        <w:tabs>
          <w:tab w:val="num" w:pos="720"/>
        </w:tabs>
        <w:ind w:left="0" w:firstLine="180"/>
        <w:jc w:val="both"/>
        <w:rPr>
          <w:b/>
          <w:bCs/>
        </w:rPr>
      </w:pPr>
      <w:r w:rsidRPr="00E73654">
        <w:rPr>
          <w:bCs/>
        </w:rPr>
        <w:t xml:space="preserve"> </w:t>
      </w:r>
      <w:r w:rsidRPr="00E73654">
        <w:rPr>
          <w:b/>
          <w:bCs/>
        </w:rPr>
        <w:t>Данъчни приходи</w:t>
      </w:r>
    </w:p>
    <w:p w14:paraId="7158382C" w14:textId="77777777" w:rsidR="000B0BED" w:rsidRPr="008C38D6" w:rsidRDefault="000B0BED" w:rsidP="000B0BED">
      <w:pPr>
        <w:jc w:val="both"/>
        <w:rPr>
          <w:bCs/>
          <w:color w:val="0070C0"/>
          <w:sz w:val="4"/>
          <w:szCs w:val="4"/>
        </w:rPr>
      </w:pPr>
    </w:p>
    <w:p w14:paraId="606FF6DB" w14:textId="77777777" w:rsidR="000B0BED" w:rsidRPr="00E73654" w:rsidRDefault="000B0BED" w:rsidP="000B0BED">
      <w:pPr>
        <w:jc w:val="both"/>
        <w:rPr>
          <w:sz w:val="10"/>
        </w:rPr>
      </w:pPr>
      <w:r w:rsidRPr="00E73654">
        <w:rPr>
          <w:bCs/>
        </w:rPr>
        <w:t>Размерът на</w:t>
      </w:r>
      <w:r w:rsidRPr="00E73654">
        <w:rPr>
          <w:b/>
          <w:bCs/>
        </w:rPr>
        <w:t xml:space="preserve"> данъчните постъпления по държавния бюджет</w:t>
      </w:r>
      <w:r w:rsidRPr="00E73654">
        <w:rPr>
          <w:bCs/>
        </w:rPr>
        <w:t xml:space="preserve"> към юни 2023 г. </w:t>
      </w:r>
      <w:r w:rsidRPr="00E73654">
        <w:t xml:space="preserve">е </w:t>
      </w:r>
      <w:r w:rsidRPr="00E73654">
        <w:rPr>
          <w:b/>
          <w:lang w:val="ru-RU"/>
        </w:rPr>
        <w:t>15 612,0</w:t>
      </w:r>
      <w:r w:rsidRPr="00E73654">
        <w:rPr>
          <w:b/>
        </w:rPr>
        <w:t> млн.</w:t>
      </w:r>
      <w:r w:rsidRPr="00E73654">
        <w:rPr>
          <w:b/>
          <w:lang w:val="en-US"/>
        </w:rPr>
        <w:t> </w:t>
      </w:r>
      <w:r w:rsidRPr="00E73654">
        <w:rPr>
          <w:b/>
        </w:rPr>
        <w:t>лв</w:t>
      </w:r>
      <w:r w:rsidRPr="00E73654">
        <w:t xml:space="preserve">. В сравнение със същия период на 2022 г. постъпленията в групата нарастват с </w:t>
      </w:r>
      <w:r w:rsidRPr="00E73654">
        <w:rPr>
          <w:lang w:val="ru-RU"/>
        </w:rPr>
        <w:t>649,9</w:t>
      </w:r>
      <w:r w:rsidRPr="00E73654">
        <w:t xml:space="preserve"> млн. лева (4,3 %). </w:t>
      </w:r>
    </w:p>
    <w:p w14:paraId="425E0799" w14:textId="77777777" w:rsidR="000B0BED" w:rsidRPr="00D56A0E" w:rsidRDefault="000B0BED" w:rsidP="000B0BED">
      <w:pPr>
        <w:numPr>
          <w:ilvl w:val="0"/>
          <w:numId w:val="4"/>
        </w:numPr>
        <w:tabs>
          <w:tab w:val="clear" w:pos="1440"/>
          <w:tab w:val="num" w:pos="540"/>
        </w:tabs>
        <w:spacing w:before="120" w:after="120"/>
        <w:ind w:left="0" w:firstLine="181"/>
        <w:jc w:val="both"/>
        <w:rPr>
          <w:b/>
          <w:bCs/>
        </w:rPr>
      </w:pPr>
      <w:r w:rsidRPr="00D56A0E">
        <w:rPr>
          <w:b/>
          <w:bCs/>
        </w:rPr>
        <w:t>Преки данъци</w:t>
      </w:r>
    </w:p>
    <w:p w14:paraId="2C5662D5" w14:textId="037F8BBA" w:rsidR="000B0BED" w:rsidRPr="008C38D6" w:rsidRDefault="000B0BED" w:rsidP="000B0BED">
      <w:pPr>
        <w:spacing w:before="120"/>
        <w:jc w:val="both"/>
        <w:rPr>
          <w:color w:val="0070C0"/>
        </w:rPr>
      </w:pPr>
      <w:r w:rsidRPr="004E6E74">
        <w:t>Приходите в групата на</w:t>
      </w:r>
      <w:r w:rsidRPr="004E6E74">
        <w:rPr>
          <w:b/>
        </w:rPr>
        <w:t xml:space="preserve"> преките данъци</w:t>
      </w:r>
      <w:r w:rsidRPr="004E6E74">
        <w:t xml:space="preserve"> са в размер на</w:t>
      </w:r>
      <w:r w:rsidRPr="004E6E74">
        <w:rPr>
          <w:b/>
        </w:rPr>
        <w:t> 4 939,7 млн. лв</w:t>
      </w:r>
      <w:r w:rsidRPr="004E6E74">
        <w:t>. Съпоставени със същия период на предходната година</w:t>
      </w:r>
      <w:r w:rsidR="00877F55">
        <w:t>,</w:t>
      </w:r>
      <w:r w:rsidRPr="004E6E74">
        <w:t xml:space="preserve"> постъпленията нарастват с </w:t>
      </w:r>
      <w:r w:rsidRPr="004E6E74">
        <w:rPr>
          <w:lang w:val="ru-RU"/>
        </w:rPr>
        <w:t>634,9</w:t>
      </w:r>
      <w:r w:rsidRPr="004E6E74">
        <w:t xml:space="preserve"> млн. лв. (14,7 %). Повишението се дължи основно на по-високите постъпления от ДДФЛ, които нарастват с 365,2 млн. лв. </w:t>
      </w:r>
      <w:r w:rsidRPr="004E6E74">
        <w:rPr>
          <w:lang w:val="ru-RU"/>
        </w:rPr>
        <w:t>(</w:t>
      </w:r>
      <w:r w:rsidRPr="004E6E74">
        <w:t>14,7</w:t>
      </w:r>
      <w:r w:rsidR="00FF314A">
        <w:t> </w:t>
      </w:r>
      <w:r w:rsidRPr="004E6E74">
        <w:t>%</w:t>
      </w:r>
      <w:r w:rsidRPr="004E6E74">
        <w:rPr>
          <w:lang w:val="ru-RU"/>
        </w:rPr>
        <w:t xml:space="preserve">) </w:t>
      </w:r>
      <w:r w:rsidRPr="004E6E74">
        <w:t xml:space="preserve">на годишна база. </w:t>
      </w:r>
    </w:p>
    <w:p w14:paraId="091A4E96" w14:textId="4C26A9DC" w:rsidR="000B0BED" w:rsidRPr="00524F40" w:rsidRDefault="000B0BED" w:rsidP="000B0BED">
      <w:pPr>
        <w:spacing w:before="120"/>
        <w:jc w:val="both"/>
      </w:pPr>
      <w:r w:rsidRPr="008B004C">
        <w:t>Приходите от</w:t>
      </w:r>
      <w:r w:rsidRPr="008B004C">
        <w:rPr>
          <w:b/>
        </w:rPr>
        <w:t xml:space="preserve"> </w:t>
      </w:r>
      <w:r w:rsidRPr="008B004C">
        <w:rPr>
          <w:b/>
          <w:bCs/>
          <w:i/>
        </w:rPr>
        <w:t>корпоративни данъци</w:t>
      </w:r>
      <w:r w:rsidRPr="008B004C">
        <w:t xml:space="preserve"> </w:t>
      </w:r>
      <w:r w:rsidRPr="008B004C">
        <w:rPr>
          <w:bCs/>
        </w:rPr>
        <w:t>към юни 2023</w:t>
      </w:r>
      <w:r w:rsidRPr="008B004C">
        <w:rPr>
          <w:b/>
        </w:rPr>
        <w:t> </w:t>
      </w:r>
      <w:r w:rsidRPr="008B004C">
        <w:t xml:space="preserve">г. са в размер на 2 086,2 млн. лв. и нарастват с 269,7 млн. лв. (14,8 %) спрямо същия период на предходната година.  </w:t>
      </w:r>
      <w:r w:rsidRPr="000B50C0">
        <w:t>Достигнатите нива на постъпленията от този вид данък са в резултат на регламентираните ср</w:t>
      </w:r>
      <w:r w:rsidR="009A7CDC">
        <w:t xml:space="preserve">окове за деклариране на </w:t>
      </w:r>
      <w:r w:rsidRPr="000B50C0">
        <w:t xml:space="preserve"> финансов</w:t>
      </w:r>
      <w:r w:rsidR="009A7CDC">
        <w:t>ия</w:t>
      </w:r>
      <w:r w:rsidRPr="000B50C0">
        <w:t xml:space="preserve"> резултат за 2022 г. и за внасяне на дължимия корпоративен данък по </w:t>
      </w:r>
      <w:r w:rsidRPr="00BD3E1A">
        <w:t>годишните данъчни декларации за 2022 г.</w:t>
      </w:r>
      <w:r w:rsidRPr="000B50C0">
        <w:t xml:space="preserve"> (до 30 юни 2023</w:t>
      </w:r>
      <w:r>
        <w:t xml:space="preserve"> г.</w:t>
      </w:r>
      <w:r w:rsidRPr="000B50C0">
        <w:t xml:space="preserve">), както и на сроковете за деклариране и внасяне </w:t>
      </w:r>
      <w:r w:rsidRPr="00524F40">
        <w:t>на авансов данък. В тази група данъци са и приходите от данък върху дивидентите, ликвидационните дялове и доходите на местни и чуждестранни юридически лица, които са в размер на 45,1 млн. лв., като съпоставено с края на юни 2022 г. приходите са с 22,3 млн. лв. по-малко (33,1 % спад).</w:t>
      </w:r>
    </w:p>
    <w:p w14:paraId="514595BA" w14:textId="77777777" w:rsidR="000B0BED" w:rsidRPr="00A9094E" w:rsidRDefault="000B0BED" w:rsidP="000B0BED">
      <w:pPr>
        <w:spacing w:before="120" w:after="120"/>
        <w:jc w:val="both"/>
      </w:pPr>
      <w:r w:rsidRPr="00A9094E">
        <w:t>Приходите от</w:t>
      </w:r>
      <w:r w:rsidRPr="00A9094E">
        <w:rPr>
          <w:b/>
        </w:rPr>
        <w:t xml:space="preserve"> данъци върху доходите на физически лица </w:t>
      </w:r>
      <w:r w:rsidRPr="00A9094E">
        <w:t xml:space="preserve">са в размер на </w:t>
      </w:r>
      <w:r w:rsidRPr="00A9094E">
        <w:rPr>
          <w:b/>
          <w:lang w:val="ru-RU"/>
        </w:rPr>
        <w:t xml:space="preserve">2 853,5 </w:t>
      </w:r>
      <w:r w:rsidRPr="00A9094E">
        <w:rPr>
          <w:b/>
        </w:rPr>
        <w:t>млн. лв.</w:t>
      </w:r>
      <w:r w:rsidRPr="00A9094E">
        <w:t xml:space="preserve"> и са по-високи с 365,2 млн. лв. (14,7 %) спрямо същия период на предходната година. </w:t>
      </w:r>
    </w:p>
    <w:p w14:paraId="758DD41D" w14:textId="0A08ADAF" w:rsidR="000B0BED" w:rsidRPr="00B30403" w:rsidRDefault="000B0BED" w:rsidP="000B0BED">
      <w:pPr>
        <w:spacing w:before="120" w:after="120"/>
        <w:jc w:val="both"/>
      </w:pPr>
      <w:r w:rsidRPr="002D1C45">
        <w:t xml:space="preserve">Върху размера на данъчните постъпления от ДДФЛ основно влияние имат икономическата активност и развитието на пазара на труда, както и предприетите законодателни и административни мерки в областта на трудовото, социалното и данъчното законодателство. За повишаване на приходите от ДДФЛ влияние оказват и предприетите мерки за намаляване на недекларирания труд, мерките за повишаване на събираемостта на задължения за минали </w:t>
      </w:r>
      <w:r w:rsidRPr="00B30403">
        <w:t>периоди и</w:t>
      </w:r>
      <w:r w:rsidR="009A7CDC">
        <w:t xml:space="preserve"> тематичните кампании за контрол</w:t>
      </w:r>
      <w:r w:rsidRPr="00B30403">
        <w:t>, провеждани от НАП.</w:t>
      </w:r>
    </w:p>
    <w:p w14:paraId="3FDB8DC7" w14:textId="77777777" w:rsidR="000B0BED" w:rsidRPr="000B0BED" w:rsidRDefault="000B0BED" w:rsidP="000B0BED">
      <w:pPr>
        <w:spacing w:before="120"/>
        <w:jc w:val="both"/>
        <w:rPr>
          <w:lang w:eastAsia="bg-BG"/>
        </w:rPr>
      </w:pPr>
      <w:r w:rsidRPr="000B0BED">
        <w:rPr>
          <w:i/>
          <w:lang w:eastAsia="bg-BG"/>
        </w:rPr>
        <w:t>По трудови правоотношения</w:t>
      </w:r>
      <w:r w:rsidRPr="000B0BED">
        <w:rPr>
          <w:lang w:eastAsia="bg-BG"/>
        </w:rPr>
        <w:t xml:space="preserve"> приходите от данъка </w:t>
      </w:r>
      <w:r w:rsidRPr="000B0BED">
        <w:rPr>
          <w:bCs/>
          <w:lang w:eastAsia="bg-BG"/>
        </w:rPr>
        <w:t>към юни 2023</w:t>
      </w:r>
      <w:r w:rsidRPr="000B0BED">
        <w:rPr>
          <w:lang w:eastAsia="bg-BG"/>
        </w:rPr>
        <w:t xml:space="preserve"> г. са 2 325,1 млн. лв., като нарастват с 346,0 млн. лв. (17,5 %) в сравнение със същия период на предходната година.</w:t>
      </w:r>
    </w:p>
    <w:p w14:paraId="64DAEEA5" w14:textId="77777777" w:rsidR="000B0BED" w:rsidRPr="000B0BED" w:rsidRDefault="000B0BED" w:rsidP="000B0BED">
      <w:pPr>
        <w:spacing w:before="120"/>
        <w:jc w:val="both"/>
        <w:rPr>
          <w:lang w:eastAsia="bg-BG"/>
        </w:rPr>
      </w:pPr>
      <w:r w:rsidRPr="000B0BED">
        <w:rPr>
          <w:lang w:eastAsia="bg-BG"/>
        </w:rPr>
        <w:t xml:space="preserve">Отчетеният ръст на заетостта, рекордният спад на безработицата в страната и значителният номинален ръст на средната работна заплата през първото тримесечие на 2023 година са основни фактори за нарастването на данъчните приходи от трудови правоотношения. </w:t>
      </w:r>
    </w:p>
    <w:p w14:paraId="3E022A99" w14:textId="77777777" w:rsidR="000B0BED" w:rsidRPr="000B0BED" w:rsidRDefault="000B0BED" w:rsidP="000B0BED">
      <w:pPr>
        <w:spacing w:before="120"/>
        <w:jc w:val="both"/>
        <w:rPr>
          <w:lang w:eastAsia="bg-BG"/>
        </w:rPr>
      </w:pPr>
      <w:r w:rsidRPr="000B0BED">
        <w:rPr>
          <w:lang w:eastAsia="bg-BG"/>
        </w:rPr>
        <w:t xml:space="preserve">Допълнително влияние за нарастване на данъчните постъпления оказва и приетото от правителството увеличение от 1 януари 2023 г. на минималната работна заплата за страната от 710 лв. на 780 лв. (9,9 %), както и увеличението на разходите за персонал в някои от бюджетните системи, одобрени с актуализацията на бюджета през 2022 година.    </w:t>
      </w:r>
    </w:p>
    <w:p w14:paraId="742916AE" w14:textId="7D25769B" w:rsidR="000B0BED" w:rsidRPr="000B0BED" w:rsidRDefault="00243BE3" w:rsidP="000B0BED">
      <w:pPr>
        <w:spacing w:before="120" w:after="120"/>
        <w:jc w:val="both"/>
        <w:rPr>
          <w:color w:val="0070C0"/>
          <w:lang w:eastAsia="bg-BG"/>
        </w:rPr>
      </w:pPr>
      <w:r w:rsidRPr="000B0BED">
        <w:rPr>
          <w:lang w:eastAsia="bg-BG"/>
        </w:rPr>
        <w:t>Ползването на облекченията за деца по чл. 22в и чл. 22г от ЗДДФЛ чрез подаване на декларация по образец при работодателя през месец декември 2022 г.</w:t>
      </w:r>
      <w:r>
        <w:rPr>
          <w:lang w:eastAsia="bg-BG"/>
        </w:rPr>
        <w:t xml:space="preserve">, </w:t>
      </w:r>
      <w:r w:rsidRPr="000B0BED">
        <w:rPr>
          <w:lang w:eastAsia="bg-BG"/>
        </w:rPr>
        <w:t>при подаване на годишната данъчна декларация за доходите, придобити през 2022 г. и при авансовото ползване при работодател за придобитите доходи през 2023 година</w:t>
      </w:r>
      <w:r>
        <w:rPr>
          <w:lang w:eastAsia="bg-BG"/>
        </w:rPr>
        <w:t xml:space="preserve"> </w:t>
      </w:r>
      <w:r w:rsidRPr="000B0BED">
        <w:rPr>
          <w:lang w:eastAsia="bg-BG"/>
        </w:rPr>
        <w:t>оказва</w:t>
      </w:r>
      <w:r>
        <w:rPr>
          <w:lang w:eastAsia="bg-BG"/>
        </w:rPr>
        <w:t>т</w:t>
      </w:r>
      <w:r w:rsidRPr="000B0BED">
        <w:rPr>
          <w:lang w:eastAsia="bg-BG"/>
        </w:rPr>
        <w:t xml:space="preserve"> въздействие в посока намаление </w:t>
      </w:r>
      <w:r>
        <w:rPr>
          <w:lang w:eastAsia="bg-BG"/>
        </w:rPr>
        <w:t>на</w:t>
      </w:r>
      <w:r w:rsidRPr="000B0BED">
        <w:rPr>
          <w:lang w:eastAsia="bg-BG"/>
        </w:rPr>
        <w:t xml:space="preserve"> приходите от трудови правоотношения на настоящата година. </w:t>
      </w:r>
      <w:r w:rsidR="000B0BED" w:rsidRPr="000B0BED">
        <w:rPr>
          <w:lang w:eastAsia="bg-BG"/>
        </w:rPr>
        <w:t xml:space="preserve">    </w:t>
      </w:r>
    </w:p>
    <w:p w14:paraId="3F7CF07A" w14:textId="77777777" w:rsidR="000B0BED" w:rsidRPr="008C38D6" w:rsidRDefault="000B0BED" w:rsidP="000B0BED">
      <w:pPr>
        <w:spacing w:after="120"/>
        <w:jc w:val="both"/>
        <w:rPr>
          <w:color w:val="0070C0"/>
          <w:highlight w:val="cyan"/>
        </w:rPr>
      </w:pPr>
      <w:r w:rsidRPr="006A4C3A">
        <w:rPr>
          <w:i/>
        </w:rPr>
        <w:t>По извънтрудови правоотношения (свободни професии, граждански договори, еднолични търговци и др.)</w:t>
      </w:r>
      <w:r w:rsidRPr="006A4C3A">
        <w:t xml:space="preserve"> приходите от данъка </w:t>
      </w:r>
      <w:r w:rsidRPr="006A4C3A">
        <w:rPr>
          <w:bCs/>
        </w:rPr>
        <w:t>към юни 2023</w:t>
      </w:r>
      <w:r w:rsidRPr="006A4C3A">
        <w:t xml:space="preserve"> г. са в размер на 261,2 млн. лв. За отчетния период са постъпили с 5,7 млн. лв. (2,2 %) повече приходи спрямо края на юни 2022 година.</w:t>
      </w:r>
      <w:r w:rsidRPr="006A4C3A">
        <w:rPr>
          <w:lang w:val="ru-RU"/>
        </w:rPr>
        <w:t xml:space="preserve"> </w:t>
      </w:r>
      <w:r w:rsidRPr="006A4C3A">
        <w:t>Основно влияние върху тези приходи оказват резултатите от годишните данъчни декларации по чл. 50 от ЗДДФЛ (дължим данък за довнасяне или надвнесен данък) и дължимите авансови вноски.</w:t>
      </w:r>
      <w:r w:rsidRPr="006A4C3A">
        <w:rPr>
          <w:lang w:val="ru-RU"/>
        </w:rPr>
        <w:t xml:space="preserve"> Ниският ръст на тази група данъчни приходи за отчетния период се дължи на ползването на данъчните облекчения за деца по чл. 22в и чл. 22г от ЗДДФЛ в увеличен размер за доходите, придобити през 2022 година</w:t>
      </w:r>
      <w:r>
        <w:rPr>
          <w:lang w:val="ru-RU"/>
        </w:rPr>
        <w:t>.</w:t>
      </w:r>
    </w:p>
    <w:p w14:paraId="37224E44" w14:textId="77777777" w:rsidR="000B0BED" w:rsidRPr="008D2772" w:rsidRDefault="000B0BED" w:rsidP="000B0BED">
      <w:pPr>
        <w:spacing w:after="120"/>
        <w:jc w:val="both"/>
      </w:pPr>
      <w:r w:rsidRPr="008D2772">
        <w:rPr>
          <w:i/>
        </w:rPr>
        <w:t xml:space="preserve">Окончателен данък на местните и чуждестранни физически лица по чл. 37 и 38 от ЗДДФЛ </w:t>
      </w:r>
      <w:r w:rsidRPr="008D2772">
        <w:t xml:space="preserve">и </w:t>
      </w:r>
      <w:r w:rsidRPr="008D2772">
        <w:rPr>
          <w:i/>
        </w:rPr>
        <w:t>данък върху дивидентите и ликвидационните дялове на физически лица</w:t>
      </w:r>
      <w:r w:rsidRPr="008D2772">
        <w:t xml:space="preserve"> - постъпленията от тези данъци са в размер на 267,0 млн. лв. За отчетния период са постъпили с 14,9 млн. лв. (5,9 %) повече приходи спрямо юни 2022 година. Влияние за по-високото изпълнение на приходите от данък върху дивидентите и ликвидационните дялове на местни и чуждестранни физически и юридически лица има предприетата комуникационна кампания и контролни действия от НАП през 2022 г. за проверка на касови наличности. Контролните действия са насочени приоритетно към лица, за които има  информация за висока касова наличност (над 100 хил. лв.), и при които има риск от наличие на сделки, сключени при условия, водещи до отклонение от данъчно облагане или до наличието на скрито разпределение на печалбата по смисъла на § 1, т. 5 от Допълнителните разпоредби на ЗКПО. Скритото разпределение на печалбата се третира като дивидент, за който се внася 5 % данък върху разпределените суми. </w:t>
      </w:r>
    </w:p>
    <w:p w14:paraId="3A21474B" w14:textId="77777777" w:rsidR="000B0BED" w:rsidRPr="00795EF1" w:rsidRDefault="000B0BED" w:rsidP="000B0BED">
      <w:pPr>
        <w:numPr>
          <w:ilvl w:val="0"/>
          <w:numId w:val="4"/>
        </w:numPr>
        <w:tabs>
          <w:tab w:val="clear" w:pos="1440"/>
          <w:tab w:val="num" w:pos="540"/>
        </w:tabs>
        <w:ind w:left="0" w:firstLine="180"/>
        <w:jc w:val="both"/>
        <w:rPr>
          <w:b/>
          <w:bCs/>
        </w:rPr>
      </w:pPr>
      <w:r w:rsidRPr="00795EF1">
        <w:rPr>
          <w:b/>
          <w:bCs/>
        </w:rPr>
        <w:t>Косвени данъци</w:t>
      </w:r>
    </w:p>
    <w:p w14:paraId="29B8D1C1" w14:textId="77777777" w:rsidR="000B0BED" w:rsidRPr="008C38D6" w:rsidRDefault="000B0BED" w:rsidP="000B0BED">
      <w:pPr>
        <w:jc w:val="both"/>
        <w:rPr>
          <w:b/>
          <w:bCs/>
          <w:color w:val="0070C0"/>
          <w:sz w:val="4"/>
          <w:szCs w:val="4"/>
        </w:rPr>
      </w:pPr>
    </w:p>
    <w:p w14:paraId="325393DC" w14:textId="77777777" w:rsidR="000B0BED" w:rsidRPr="008C38D6" w:rsidRDefault="000B0BED" w:rsidP="000B0BED">
      <w:pPr>
        <w:spacing w:after="120"/>
        <w:jc w:val="both"/>
        <w:rPr>
          <w:color w:val="0070C0"/>
        </w:rPr>
      </w:pPr>
      <w:r w:rsidRPr="00795EF1">
        <w:t xml:space="preserve">Приходите от </w:t>
      </w:r>
      <w:r w:rsidRPr="00795EF1">
        <w:rPr>
          <w:b/>
        </w:rPr>
        <w:t>косвени данъци</w:t>
      </w:r>
      <w:r w:rsidRPr="00795EF1">
        <w:t xml:space="preserve"> </w:t>
      </w:r>
      <w:r w:rsidRPr="00795EF1">
        <w:rPr>
          <w:bCs/>
        </w:rPr>
        <w:t>към юни 2023</w:t>
      </w:r>
      <w:r w:rsidRPr="00795EF1">
        <w:t xml:space="preserve"> г. са в размер на</w:t>
      </w:r>
      <w:r w:rsidRPr="00795EF1">
        <w:rPr>
          <w:b/>
        </w:rPr>
        <w:t xml:space="preserve"> 10 454,4 млн. лв</w:t>
      </w:r>
      <w:r w:rsidRPr="00795EF1">
        <w:t xml:space="preserve">. и са </w:t>
      </w:r>
      <w:r w:rsidRPr="00795EF1">
        <w:rPr>
          <w:rFonts w:eastAsia="Batang"/>
          <w:bCs/>
        </w:rPr>
        <w:t>по-малко с 95,4 млн. лв. (0,</w:t>
      </w:r>
      <w:r>
        <w:rPr>
          <w:rFonts w:eastAsia="Batang"/>
          <w:bCs/>
        </w:rPr>
        <w:t>9</w:t>
      </w:r>
      <w:r w:rsidRPr="00795EF1">
        <w:rPr>
          <w:rFonts w:eastAsia="Batang"/>
          <w:bCs/>
        </w:rPr>
        <w:t xml:space="preserve"> %)</w:t>
      </w:r>
      <w:r w:rsidRPr="00B019A1">
        <w:rPr>
          <w:rFonts w:eastAsia="Batang"/>
          <w:bCs/>
          <w:lang w:val="ru-RU"/>
        </w:rPr>
        <w:t xml:space="preserve"> </w:t>
      </w:r>
      <w:r w:rsidRPr="00795EF1">
        <w:rPr>
          <w:rFonts w:eastAsia="Batang"/>
          <w:bCs/>
        </w:rPr>
        <w:t xml:space="preserve">спрямо същия период на предходната година, което се дължи </w:t>
      </w:r>
      <w:r w:rsidRPr="001A0DF3">
        <w:rPr>
          <w:rFonts w:eastAsia="Batang"/>
          <w:bCs/>
        </w:rPr>
        <w:t xml:space="preserve">основно на намалението при приходите от ДДС при внос с 430,6 млн. лв. (12,8 % спад) и </w:t>
      </w:r>
      <w:r>
        <w:rPr>
          <w:rFonts w:eastAsia="Batang"/>
          <w:bCs/>
        </w:rPr>
        <w:t>при</w:t>
      </w:r>
      <w:r w:rsidRPr="001A0DF3">
        <w:rPr>
          <w:rFonts w:eastAsia="Batang"/>
          <w:bCs/>
        </w:rPr>
        <w:t xml:space="preserve"> приходите от мита с 52,3 млн. лв. (24,0 %).</w:t>
      </w:r>
    </w:p>
    <w:p w14:paraId="4B5C21FB" w14:textId="77777777" w:rsidR="000B0BED" w:rsidRPr="008C38D6" w:rsidRDefault="000B0BED" w:rsidP="000B0BED">
      <w:pPr>
        <w:spacing w:after="120"/>
        <w:jc w:val="both"/>
        <w:rPr>
          <w:color w:val="0070C0"/>
        </w:rPr>
      </w:pPr>
      <w:r w:rsidRPr="00261784">
        <w:rPr>
          <w:b/>
        </w:rPr>
        <w:t>Приходите от ДДС</w:t>
      </w:r>
      <w:r w:rsidRPr="00261784">
        <w:t xml:space="preserve"> са в размер на </w:t>
      </w:r>
      <w:r w:rsidRPr="00261784">
        <w:rPr>
          <w:b/>
        </w:rPr>
        <w:t>7 423,1</w:t>
      </w:r>
      <w:r w:rsidRPr="00261784">
        <w:t xml:space="preserve"> </w:t>
      </w:r>
      <w:r w:rsidRPr="00261784">
        <w:rPr>
          <w:b/>
        </w:rPr>
        <w:t>млн. лв.</w:t>
      </w:r>
      <w:r w:rsidRPr="00261784">
        <w:t xml:space="preserve">, което е </w:t>
      </w:r>
      <w:r w:rsidRPr="00DC1C74">
        <w:t xml:space="preserve">с </w:t>
      </w:r>
      <w:r w:rsidRPr="00B019A1">
        <w:rPr>
          <w:lang w:val="ru-RU"/>
        </w:rPr>
        <w:t>1</w:t>
      </w:r>
      <w:r w:rsidRPr="00DC1C74">
        <w:t>,7 % по</w:t>
      </w:r>
      <w:r w:rsidRPr="00261784">
        <w:t xml:space="preserve">-малко от приходите към края на юни 2022 г. или намалението е със </w:t>
      </w:r>
      <w:r w:rsidRPr="009E69EE">
        <w:t>125,1 млн. лв.</w:t>
      </w:r>
      <w:r w:rsidRPr="00261784">
        <w:t xml:space="preserve"> и е в резултат на по-ниските постъпления от ДДС при внос.  </w:t>
      </w:r>
    </w:p>
    <w:p w14:paraId="289089D4" w14:textId="4F055B4A" w:rsidR="000B0BED" w:rsidRPr="008C38D6" w:rsidRDefault="000B0BED" w:rsidP="000B0BED">
      <w:pPr>
        <w:spacing w:before="120"/>
        <w:ind w:right="-29"/>
        <w:jc w:val="both"/>
        <w:rPr>
          <w:color w:val="0070C0"/>
        </w:rPr>
      </w:pPr>
      <w:r w:rsidRPr="00025365">
        <w:t xml:space="preserve">Нетният размер на приходите от </w:t>
      </w:r>
      <w:r w:rsidRPr="00025365">
        <w:rPr>
          <w:i/>
        </w:rPr>
        <w:t>ДДС от внос</w:t>
      </w:r>
      <w:r w:rsidRPr="00025365">
        <w:t xml:space="preserve"> </w:t>
      </w:r>
      <w:r w:rsidRPr="00025365">
        <w:rPr>
          <w:bCs/>
        </w:rPr>
        <w:t>към юни 2023</w:t>
      </w:r>
      <w:r w:rsidRPr="00025365">
        <w:t xml:space="preserve"> г. е 2 926,4 млн. лв., като намаляват с 12,8 % (430,6 млн. лв.) спрямо същия период на предходната година. </w:t>
      </w:r>
      <w:r w:rsidRPr="00755CA5">
        <w:t xml:space="preserve">Влияние върху динамиката на приходите от ДДС при внос през първите </w:t>
      </w:r>
      <w:r>
        <w:t>шест</w:t>
      </w:r>
      <w:r w:rsidRPr="00755CA5">
        <w:t xml:space="preserve"> месеца на 2023 г. оказват средните борсови цени (в долари) на суровините, които формират основна част от вноса от </w:t>
      </w:r>
      <w:r w:rsidRPr="007B2AA3">
        <w:t>трети страни. В допълнение, върху размера на ДДС от внос влияят и курсът на щатския долар, както и спадът на количествата на внесените стоки, пораждащи ДДС, в т.ч. на суровия петрол. Разглеждайки</w:t>
      </w:r>
      <w:r w:rsidRPr="00632934">
        <w:t xml:space="preserve"> декларирания ДДС при внос по групи стоки, съобразно Класификатора на широките икономически категории (BEC), през изминалите месеци на 2023 г. се наблюдава понижение при всички групи с изключение на групата „Инвестиционни стоки“. Отчита се понижение на индекса на цените на стоки, внесени от трети страни, със 7,0 %, а на </w:t>
      </w:r>
      <w:r w:rsidRPr="00890AB2">
        <w:t xml:space="preserve">количествата – с 16,7 % спрямо първото полугодие на 2022 година. Освен това върху постъпленията от ДДС от внос влияние оказа и възможността </w:t>
      </w:r>
      <w:r w:rsidRPr="00890AB2">
        <w:rPr>
          <w:iCs/>
        </w:rPr>
        <w:t>за отложено начисляване на ДДС от вносител при внос на стоки от трети страни, в съответствие с разпоредбата на чл. 167а от Закона за данък върху добавената стойност.</w:t>
      </w:r>
      <w:r w:rsidRPr="00890AB2">
        <w:rPr>
          <w:bCs/>
        </w:rPr>
        <w:t xml:space="preserve"> </w:t>
      </w:r>
      <w:r w:rsidRPr="00890AB2">
        <w:t xml:space="preserve">Ефектът от прилагането на този режим към края на месец юни 2023 г. </w:t>
      </w:r>
      <w:r w:rsidRPr="00890AB2">
        <w:rPr>
          <w:bCs/>
        </w:rPr>
        <w:t xml:space="preserve">е неначислен </w:t>
      </w:r>
      <w:r w:rsidRPr="0063361B">
        <w:rPr>
          <w:bCs/>
        </w:rPr>
        <w:t xml:space="preserve">ДДС при внос в размер на </w:t>
      </w:r>
      <w:r w:rsidRPr="00B106BE">
        <w:rPr>
          <w:bCs/>
        </w:rPr>
        <w:t>660</w:t>
      </w:r>
      <w:r>
        <w:rPr>
          <w:bCs/>
        </w:rPr>
        <w:t>,</w:t>
      </w:r>
      <w:r w:rsidRPr="00B106BE">
        <w:rPr>
          <w:bCs/>
        </w:rPr>
        <w:t>7 млн. лв</w:t>
      </w:r>
      <w:r>
        <w:rPr>
          <w:bCs/>
        </w:rPr>
        <w:t>.</w:t>
      </w:r>
      <w:r w:rsidRPr="00B106BE">
        <w:rPr>
          <w:bCs/>
        </w:rPr>
        <w:t>, което е със 192</w:t>
      </w:r>
      <w:r>
        <w:rPr>
          <w:bCs/>
        </w:rPr>
        <w:t>,</w:t>
      </w:r>
      <w:r w:rsidRPr="00B106BE">
        <w:rPr>
          <w:bCs/>
        </w:rPr>
        <w:t>3</w:t>
      </w:r>
      <w:r>
        <w:rPr>
          <w:bCs/>
        </w:rPr>
        <w:t xml:space="preserve"> млн. лв.</w:t>
      </w:r>
      <w:r w:rsidRPr="00B106BE">
        <w:rPr>
          <w:bCs/>
        </w:rPr>
        <w:t xml:space="preserve"> по-малко спрямо същия период на 2022 г., като се регистрира спад от </w:t>
      </w:r>
      <w:r w:rsidRPr="00100CDA">
        <w:rPr>
          <w:bCs/>
        </w:rPr>
        <w:t>22</w:t>
      </w:r>
      <w:r>
        <w:rPr>
          <w:bCs/>
        </w:rPr>
        <w:t>,</w:t>
      </w:r>
      <w:r w:rsidRPr="00B106BE">
        <w:rPr>
          <w:bCs/>
        </w:rPr>
        <w:t>5</w:t>
      </w:r>
      <w:r>
        <w:rPr>
          <w:bCs/>
        </w:rPr>
        <w:t> </w:t>
      </w:r>
      <w:r w:rsidRPr="00B106BE">
        <w:rPr>
          <w:bCs/>
        </w:rPr>
        <w:t>%.</w:t>
      </w:r>
      <w:r>
        <w:rPr>
          <w:bCs/>
        </w:rPr>
        <w:t xml:space="preserve"> </w:t>
      </w:r>
      <w:r w:rsidRPr="0063361B">
        <w:rPr>
          <w:bCs/>
        </w:rPr>
        <w:t>Стоките с най-значителен дял са: р</w:t>
      </w:r>
      <w:r w:rsidRPr="0063361B">
        <w:t xml:space="preserve">уди, шлаки и пепели </w:t>
      </w:r>
      <w:r w:rsidRPr="0063361B">
        <w:rPr>
          <w:bCs/>
        </w:rPr>
        <w:t xml:space="preserve">– </w:t>
      </w:r>
      <w:r w:rsidRPr="00B106BE">
        <w:rPr>
          <w:bCs/>
        </w:rPr>
        <w:t>361</w:t>
      </w:r>
      <w:r>
        <w:rPr>
          <w:bCs/>
        </w:rPr>
        <w:t>,</w:t>
      </w:r>
      <w:r w:rsidRPr="00B106BE">
        <w:rPr>
          <w:bCs/>
        </w:rPr>
        <w:t xml:space="preserve">2 </w:t>
      </w:r>
      <w:r w:rsidRPr="0063361B">
        <w:rPr>
          <w:bCs/>
        </w:rPr>
        <w:t>млн. лв. (</w:t>
      </w:r>
      <w:r w:rsidRPr="00B106BE">
        <w:rPr>
          <w:bCs/>
        </w:rPr>
        <w:t xml:space="preserve">намаление </w:t>
      </w:r>
      <w:r>
        <w:rPr>
          <w:bCs/>
        </w:rPr>
        <w:t xml:space="preserve">с </w:t>
      </w:r>
      <w:r w:rsidRPr="00B106BE">
        <w:rPr>
          <w:bCs/>
        </w:rPr>
        <w:t>90</w:t>
      </w:r>
      <w:r>
        <w:rPr>
          <w:bCs/>
        </w:rPr>
        <w:t>,</w:t>
      </w:r>
      <w:r w:rsidRPr="00B106BE">
        <w:rPr>
          <w:bCs/>
        </w:rPr>
        <w:t xml:space="preserve">6 </w:t>
      </w:r>
      <w:r w:rsidRPr="0063361B">
        <w:rPr>
          <w:bCs/>
        </w:rPr>
        <w:t xml:space="preserve">млн. лв. </w:t>
      </w:r>
      <w:r>
        <w:rPr>
          <w:bCs/>
        </w:rPr>
        <w:t xml:space="preserve">спрямо 2022 г. </w:t>
      </w:r>
      <w:r w:rsidRPr="0063361B">
        <w:rPr>
          <w:bCs/>
        </w:rPr>
        <w:t>или</w:t>
      </w:r>
      <w:r>
        <w:rPr>
          <w:bCs/>
        </w:rPr>
        <w:t xml:space="preserve"> 20,1</w:t>
      </w:r>
      <w:r w:rsidRPr="0063361B">
        <w:rPr>
          <w:bCs/>
        </w:rPr>
        <w:t xml:space="preserve"> %)</w:t>
      </w:r>
      <w:r>
        <w:rPr>
          <w:bCs/>
        </w:rPr>
        <w:t xml:space="preserve">, </w:t>
      </w:r>
      <w:r w:rsidRPr="0063361B">
        <w:t xml:space="preserve">мед и изделия от мед – </w:t>
      </w:r>
      <w:r>
        <w:rPr>
          <w:bCs/>
        </w:rPr>
        <w:t>129,</w:t>
      </w:r>
      <w:r w:rsidRPr="00B106BE">
        <w:rPr>
          <w:bCs/>
        </w:rPr>
        <w:t xml:space="preserve">5 </w:t>
      </w:r>
      <w:r w:rsidRPr="0063361B">
        <w:t>млн. лв. (</w:t>
      </w:r>
      <w:r>
        <w:rPr>
          <w:bCs/>
        </w:rPr>
        <w:t>намаление с 11,</w:t>
      </w:r>
      <w:r w:rsidRPr="00B106BE">
        <w:rPr>
          <w:bCs/>
        </w:rPr>
        <w:t>4</w:t>
      </w:r>
      <w:r>
        <w:t xml:space="preserve"> </w:t>
      </w:r>
      <w:r w:rsidRPr="0063361B">
        <w:t xml:space="preserve">млн. лв. или </w:t>
      </w:r>
      <w:r w:rsidRPr="00B106BE">
        <w:rPr>
          <w:bCs/>
        </w:rPr>
        <w:t>8</w:t>
      </w:r>
      <w:r>
        <w:rPr>
          <w:bCs/>
        </w:rPr>
        <w:t>,</w:t>
      </w:r>
      <w:r w:rsidRPr="00B106BE">
        <w:rPr>
          <w:bCs/>
        </w:rPr>
        <w:t>1%</w:t>
      </w:r>
      <w:r w:rsidRPr="0063361B">
        <w:t>)</w:t>
      </w:r>
      <w:r w:rsidRPr="0064539D">
        <w:rPr>
          <w:bCs/>
        </w:rPr>
        <w:t xml:space="preserve"> </w:t>
      </w:r>
      <w:r>
        <w:rPr>
          <w:bCs/>
        </w:rPr>
        <w:t>и ч</w:t>
      </w:r>
      <w:r w:rsidRPr="0064539D">
        <w:rPr>
          <w:bCs/>
        </w:rPr>
        <w:t xml:space="preserve">угун, желязо и стомана </w:t>
      </w:r>
      <w:r>
        <w:rPr>
          <w:bCs/>
        </w:rPr>
        <w:t>–</w:t>
      </w:r>
      <w:r w:rsidRPr="0064539D">
        <w:rPr>
          <w:bCs/>
        </w:rPr>
        <w:t xml:space="preserve"> </w:t>
      </w:r>
      <w:r>
        <w:rPr>
          <w:bCs/>
        </w:rPr>
        <w:t>68,</w:t>
      </w:r>
      <w:r w:rsidRPr="00B106BE">
        <w:rPr>
          <w:bCs/>
        </w:rPr>
        <w:t xml:space="preserve">1 </w:t>
      </w:r>
      <w:r w:rsidRPr="0064539D">
        <w:rPr>
          <w:bCs/>
        </w:rPr>
        <w:t xml:space="preserve">млн. </w:t>
      </w:r>
      <w:r>
        <w:rPr>
          <w:bCs/>
        </w:rPr>
        <w:t>лв.</w:t>
      </w:r>
      <w:r w:rsidRPr="0064539D">
        <w:rPr>
          <w:bCs/>
        </w:rPr>
        <w:t xml:space="preserve"> (</w:t>
      </w:r>
      <w:r w:rsidRPr="00B106BE">
        <w:rPr>
          <w:bCs/>
        </w:rPr>
        <w:t>намаление с 38</w:t>
      </w:r>
      <w:r>
        <w:rPr>
          <w:bCs/>
        </w:rPr>
        <w:t>,</w:t>
      </w:r>
      <w:r w:rsidRPr="00B106BE">
        <w:rPr>
          <w:bCs/>
        </w:rPr>
        <w:t>4 млн. лв</w:t>
      </w:r>
      <w:r>
        <w:rPr>
          <w:bCs/>
        </w:rPr>
        <w:t>.</w:t>
      </w:r>
      <w:r w:rsidRPr="00B106BE">
        <w:rPr>
          <w:bCs/>
        </w:rPr>
        <w:t>, 36</w:t>
      </w:r>
      <w:r>
        <w:rPr>
          <w:bCs/>
        </w:rPr>
        <w:t>,</w:t>
      </w:r>
      <w:r w:rsidRPr="00B106BE">
        <w:rPr>
          <w:bCs/>
        </w:rPr>
        <w:t>1%</w:t>
      </w:r>
      <w:r>
        <w:rPr>
          <w:bCs/>
        </w:rPr>
        <w:t>)</w:t>
      </w:r>
      <w:r w:rsidRPr="008C38D6">
        <w:rPr>
          <w:color w:val="0070C0"/>
        </w:rPr>
        <w:t xml:space="preserve">. </w:t>
      </w:r>
    </w:p>
    <w:p w14:paraId="4C045638" w14:textId="7921A03B" w:rsidR="000B0BED" w:rsidRPr="008C38D6" w:rsidRDefault="000B0BED" w:rsidP="000B0BED">
      <w:pPr>
        <w:spacing w:before="120" w:after="120"/>
        <w:jc w:val="both"/>
        <w:rPr>
          <w:b/>
          <w:color w:val="0070C0"/>
        </w:rPr>
      </w:pPr>
      <w:r w:rsidRPr="00C7639A">
        <w:t>Постъпленията от</w:t>
      </w:r>
      <w:r w:rsidRPr="00C7639A">
        <w:rPr>
          <w:i/>
        </w:rPr>
        <w:t xml:space="preserve"> ДДС при сделки в страната (нето)</w:t>
      </w:r>
      <w:r w:rsidRPr="00C7639A">
        <w:t xml:space="preserve"> </w:t>
      </w:r>
      <w:r w:rsidRPr="00C7639A">
        <w:rPr>
          <w:bCs/>
        </w:rPr>
        <w:t>към юни 2023</w:t>
      </w:r>
      <w:r w:rsidRPr="00C7639A">
        <w:t xml:space="preserve"> г. възлизат на 4 496,7 млн. лв. Сравнени с данните за същия период на предходната година</w:t>
      </w:r>
      <w:r w:rsidR="006935B3">
        <w:t>,</w:t>
      </w:r>
      <w:r w:rsidRPr="00C7639A">
        <w:t xml:space="preserve"> постъпленията </w:t>
      </w:r>
      <w:r w:rsidRPr="00C7639A">
        <w:rPr>
          <w:bCs/>
        </w:rPr>
        <w:t>нарастват с</w:t>
      </w:r>
      <w:r>
        <w:rPr>
          <w:bCs/>
        </w:rPr>
        <w:t>ъс</w:t>
      </w:r>
      <w:r w:rsidRPr="00C7639A">
        <w:rPr>
          <w:bCs/>
        </w:rPr>
        <w:t xml:space="preserve"> 7,3 % </w:t>
      </w:r>
      <w:r w:rsidRPr="00C7639A">
        <w:rPr>
          <w:bCs/>
          <w:lang w:val="ru-RU"/>
        </w:rPr>
        <w:t xml:space="preserve">(305,5 млн. </w:t>
      </w:r>
      <w:r w:rsidRPr="00386A2F">
        <w:rPr>
          <w:bCs/>
          <w:lang w:val="ru-RU"/>
        </w:rPr>
        <w:t>лв.)</w:t>
      </w:r>
      <w:r w:rsidRPr="00386A2F">
        <w:rPr>
          <w:bCs/>
        </w:rPr>
        <w:t xml:space="preserve">. Отчита се ръст при </w:t>
      </w:r>
      <w:r w:rsidRPr="00243B8E">
        <w:rPr>
          <w:bCs/>
        </w:rPr>
        <w:t>декларираният ДДС за възстановяване, който зависи от размера на износа и направените инвестиции. Данъкът за възстановяване се приспада по реда на чл. 92, ал.</w:t>
      </w:r>
      <w:r w:rsidR="00EF5112">
        <w:rPr>
          <w:bCs/>
        </w:rPr>
        <w:t xml:space="preserve"> </w:t>
      </w:r>
      <w:r w:rsidRPr="00243B8E">
        <w:rPr>
          <w:bCs/>
        </w:rPr>
        <w:t>1 от ЗДДС или ефективно се възстановява от данъчната администрация след определения срок. Приспаднатият данък за</w:t>
      </w:r>
      <w:r w:rsidRPr="00386A2F">
        <w:rPr>
          <w:bCs/>
        </w:rPr>
        <w:t xml:space="preserve"> първите шест месеца на 2023 г. е 538,4 млн. лв. и е с 39,6 млн. лв. повече от 2022 година. Възстановеният данък се увеличава и е в размер на 5 513,3 млн. лв., което е с 397,3 млн. лв. над възстановените суми към края на юни миналата година. Невъзстановеният </w:t>
      </w:r>
      <w:r w:rsidRPr="00386A2F">
        <w:t xml:space="preserve">данъчен кредит </w:t>
      </w:r>
      <w:r w:rsidRPr="00386A2F">
        <w:rPr>
          <w:bCs/>
        </w:rPr>
        <w:t>към 30.06.2023 г. е в размер на 110,4 млн. лева.</w:t>
      </w:r>
    </w:p>
    <w:p w14:paraId="5D6C71C4" w14:textId="602FA36D" w:rsidR="000B0BED" w:rsidRPr="008C38D6" w:rsidRDefault="000B0BED" w:rsidP="000B0BED">
      <w:pPr>
        <w:spacing w:after="120"/>
        <w:jc w:val="both"/>
        <w:rPr>
          <w:color w:val="0070C0"/>
        </w:rPr>
      </w:pPr>
      <w:r w:rsidRPr="00734CC2">
        <w:rPr>
          <w:b/>
        </w:rPr>
        <w:t xml:space="preserve">Приходите от акцизи (нето) </w:t>
      </w:r>
      <w:r w:rsidRPr="00734CC2">
        <w:t xml:space="preserve">от внос, вътрешно производство и въведени в страната от други държави-членки на ЕС акцизни стоки са в размер на </w:t>
      </w:r>
      <w:r w:rsidRPr="00734CC2">
        <w:rPr>
          <w:b/>
        </w:rPr>
        <w:t>2 837,6 млн. лв</w:t>
      </w:r>
      <w:r w:rsidRPr="00734CC2">
        <w:t>. Съпоставени със същия период на предходната година</w:t>
      </w:r>
      <w:r w:rsidR="006935B3">
        <w:t>,</w:t>
      </w:r>
      <w:r w:rsidRPr="00734CC2">
        <w:t xml:space="preserve"> приходите от акцизи нарастват номинално със 79,7 млн. лв. (2,9 %).</w:t>
      </w:r>
    </w:p>
    <w:p w14:paraId="24555AB9" w14:textId="77777777" w:rsidR="000B0BED" w:rsidRPr="00410B88" w:rsidRDefault="000B0BED" w:rsidP="000B0BED">
      <w:pPr>
        <w:spacing w:before="120" w:after="120"/>
        <w:jc w:val="both"/>
      </w:pPr>
      <w:r w:rsidRPr="00410B88">
        <w:t>Относителният дял на нетните постъпления от акциз по стокови групи е от: тютюн и тютюневи изделия (54,9 %); горива (39,3 %); алкохол и алкохолни напитки, вкл. бира (5,3 %) и други акцизни стоки (0,6 %). Постъпленията от акциз към юни 2023 г. по основни стокови групи, са както следва:</w:t>
      </w:r>
    </w:p>
    <w:p w14:paraId="798641F9" w14:textId="77777777" w:rsidR="000B0BED" w:rsidRPr="008231BE" w:rsidRDefault="000B0BED" w:rsidP="000B0BED">
      <w:pPr>
        <w:numPr>
          <w:ilvl w:val="0"/>
          <w:numId w:val="16"/>
        </w:numPr>
        <w:ind w:firstLine="66"/>
        <w:jc w:val="both"/>
        <w:rPr>
          <w:i/>
        </w:rPr>
      </w:pPr>
      <w:r w:rsidRPr="008231BE">
        <w:rPr>
          <w:i/>
        </w:rPr>
        <w:t xml:space="preserve">акцизите от тютюн и тютюневи изделия </w:t>
      </w:r>
      <w:r w:rsidRPr="008231BE">
        <w:t>възлизат на</w:t>
      </w:r>
      <w:r w:rsidRPr="008231BE">
        <w:rPr>
          <w:i/>
        </w:rPr>
        <w:t xml:space="preserve"> </w:t>
      </w:r>
      <w:r w:rsidRPr="008231BE">
        <w:t>1 556,5 млн. лева</w:t>
      </w:r>
      <w:r w:rsidRPr="008231BE">
        <w:rPr>
          <w:i/>
        </w:rPr>
        <w:t xml:space="preserve">; </w:t>
      </w:r>
    </w:p>
    <w:p w14:paraId="2E9DD456" w14:textId="77777777" w:rsidR="000B0BED" w:rsidRPr="008231BE" w:rsidRDefault="000B0BED" w:rsidP="000B0BED">
      <w:pPr>
        <w:numPr>
          <w:ilvl w:val="0"/>
          <w:numId w:val="16"/>
        </w:numPr>
        <w:ind w:firstLine="66"/>
        <w:jc w:val="both"/>
      </w:pPr>
      <w:r w:rsidRPr="008231BE">
        <w:rPr>
          <w:i/>
        </w:rPr>
        <w:t>акцизите от горив</w:t>
      </w:r>
      <w:r w:rsidRPr="008231BE">
        <w:t xml:space="preserve">а са в размер на 1 113,9 млн. лева; </w:t>
      </w:r>
    </w:p>
    <w:p w14:paraId="77E7A9DA" w14:textId="77777777" w:rsidR="000B0BED" w:rsidRPr="008231BE" w:rsidRDefault="000B0BED" w:rsidP="000B0BED">
      <w:pPr>
        <w:numPr>
          <w:ilvl w:val="0"/>
          <w:numId w:val="16"/>
        </w:numPr>
        <w:ind w:firstLine="66"/>
        <w:jc w:val="both"/>
      </w:pPr>
      <w:r w:rsidRPr="008231BE">
        <w:rPr>
          <w:i/>
        </w:rPr>
        <w:t xml:space="preserve">акцизите от алкохол и алкохолни напитки (вкл. бира) </w:t>
      </w:r>
      <w:r w:rsidRPr="008231BE">
        <w:t xml:space="preserve">възлизат на 149,3 млн. лева; </w:t>
      </w:r>
    </w:p>
    <w:p w14:paraId="0D6BFC65" w14:textId="77777777" w:rsidR="000B0BED" w:rsidRPr="008231BE" w:rsidRDefault="000B0BED" w:rsidP="000B0BED">
      <w:pPr>
        <w:numPr>
          <w:ilvl w:val="0"/>
          <w:numId w:val="16"/>
        </w:numPr>
        <w:ind w:firstLine="66"/>
        <w:jc w:val="both"/>
      </w:pPr>
      <w:r w:rsidRPr="008231BE">
        <w:rPr>
          <w:i/>
        </w:rPr>
        <w:t xml:space="preserve">приходите от ел. енергия и др. акцизни стоки </w:t>
      </w:r>
      <w:r w:rsidRPr="008231BE">
        <w:t>възлизат на 17,9 млн. лева.</w:t>
      </w:r>
    </w:p>
    <w:p w14:paraId="02BE6D43" w14:textId="77777777" w:rsidR="000B0BED" w:rsidRPr="008C38D6" w:rsidRDefault="000B0BED" w:rsidP="000B0BED">
      <w:pPr>
        <w:ind w:left="360"/>
        <w:jc w:val="both"/>
        <w:rPr>
          <w:color w:val="0070C0"/>
          <w:sz w:val="8"/>
          <w:szCs w:val="8"/>
        </w:rPr>
      </w:pPr>
    </w:p>
    <w:p w14:paraId="5E724A27" w14:textId="77777777" w:rsidR="000B0BED" w:rsidRPr="008C38D6" w:rsidRDefault="000B0BED" w:rsidP="000B0BED">
      <w:pPr>
        <w:ind w:left="360"/>
        <w:jc w:val="both"/>
        <w:rPr>
          <w:color w:val="0070C0"/>
          <w:sz w:val="8"/>
          <w:szCs w:val="8"/>
        </w:rPr>
      </w:pPr>
    </w:p>
    <w:p w14:paraId="61939774" w14:textId="77777777" w:rsidR="000B0BED" w:rsidRPr="008C38D6" w:rsidRDefault="000B0BED" w:rsidP="000B0BED">
      <w:pPr>
        <w:ind w:left="360"/>
        <w:jc w:val="both"/>
        <w:rPr>
          <w:color w:val="0070C0"/>
          <w:sz w:val="8"/>
          <w:szCs w:val="8"/>
        </w:rPr>
      </w:pPr>
    </w:p>
    <w:p w14:paraId="76263373" w14:textId="77777777" w:rsidR="000B0BED" w:rsidRPr="00EE67F9" w:rsidRDefault="000B0BED" w:rsidP="000B0BED">
      <w:pPr>
        <w:spacing w:after="120"/>
        <w:jc w:val="both"/>
      </w:pPr>
      <w:r w:rsidRPr="00EE67F9">
        <w:rPr>
          <w:b/>
        </w:rPr>
        <w:t>Приходите от данък върху застрахователните премии</w:t>
      </w:r>
      <w:r w:rsidRPr="00EE67F9">
        <w:t xml:space="preserve"> са в размер на </w:t>
      </w:r>
      <w:r w:rsidRPr="00EE67F9">
        <w:rPr>
          <w:b/>
        </w:rPr>
        <w:t>27,5 млн. лева</w:t>
      </w:r>
      <w:r w:rsidRPr="00EE67F9">
        <w:t>.</w:t>
      </w:r>
    </w:p>
    <w:p w14:paraId="3290BBB6" w14:textId="30FCFD06" w:rsidR="000B0BED" w:rsidRPr="00416DD6" w:rsidRDefault="000B0BED" w:rsidP="000B0BED">
      <w:pPr>
        <w:autoSpaceDE w:val="0"/>
        <w:autoSpaceDN w:val="0"/>
        <w:adjustRightInd w:val="0"/>
        <w:spacing w:after="120"/>
        <w:jc w:val="both"/>
        <w:rPr>
          <w:rFonts w:eastAsia="Batang"/>
          <w:bCs/>
        </w:rPr>
      </w:pPr>
      <w:r w:rsidRPr="00EE67F9">
        <w:rPr>
          <w:b/>
        </w:rPr>
        <w:t>Постъпленията от</w:t>
      </w:r>
      <w:r w:rsidRPr="00EE67F9">
        <w:t xml:space="preserve"> </w:t>
      </w:r>
      <w:r w:rsidRPr="00EE67F9">
        <w:rPr>
          <w:b/>
          <w:bCs/>
        </w:rPr>
        <w:t xml:space="preserve">мита </w:t>
      </w:r>
      <w:r w:rsidRPr="00EE67F9">
        <w:t xml:space="preserve">възлизат на </w:t>
      </w:r>
      <w:r w:rsidRPr="00EE67F9">
        <w:rPr>
          <w:b/>
        </w:rPr>
        <w:t>166,1 млн. лв</w:t>
      </w:r>
      <w:r w:rsidRPr="00EE67F9">
        <w:t>., като заемат 1,1 % относителен дял в общия размер на данъчните приходи по държавния бюджет</w:t>
      </w:r>
      <w:r w:rsidRPr="00557439">
        <w:t xml:space="preserve">. В сравнение със същия период на предходната година събраните мита са с 52,3 млн. лв. (24,0 %) по-малко. </w:t>
      </w:r>
      <w:r w:rsidRPr="00416DD6">
        <w:rPr>
          <w:rFonts w:eastAsia="Batang"/>
          <w:bCs/>
        </w:rPr>
        <w:t>Влияние върху спада в приходите от мита имат въведените от ЕС ограничителни мерки спрямо Русия в съответст</w:t>
      </w:r>
      <w:r w:rsidR="00EF5112">
        <w:rPr>
          <w:rFonts w:eastAsia="Batang"/>
          <w:bCs/>
        </w:rPr>
        <w:t>вие с Регламент (ЕС) № 833/2014</w:t>
      </w:r>
      <w:r w:rsidRPr="00416DD6">
        <w:rPr>
          <w:rFonts w:eastAsia="Batang"/>
          <w:bCs/>
        </w:rPr>
        <w:t xml:space="preserve"> и неговите последващи изменения и допълнения. Друг фактор </w:t>
      </w:r>
      <w:r w:rsidR="00C63188">
        <w:rPr>
          <w:rFonts w:eastAsia="Batang"/>
          <w:bCs/>
        </w:rPr>
        <w:t>за</w:t>
      </w:r>
      <w:r w:rsidRPr="00416DD6">
        <w:rPr>
          <w:rFonts w:eastAsia="Batang"/>
          <w:bCs/>
        </w:rPr>
        <w:t xml:space="preserve"> намалените постъпления от мита </w:t>
      </w:r>
      <w:r w:rsidR="00C63188">
        <w:rPr>
          <w:rFonts w:eastAsia="Batang"/>
          <w:bCs/>
        </w:rPr>
        <w:t>е</w:t>
      </w:r>
      <w:r w:rsidRPr="00416DD6">
        <w:rPr>
          <w:rFonts w:eastAsia="Batang"/>
          <w:bCs/>
        </w:rPr>
        <w:t xml:space="preserve"> въведения с Регламент (ЕС) 2022/870 на ЕП и Съвета от 30 май 2022 г. преференциален режим спрямо Украйна под формата на пълно премахване на вносните мита върху вноса на промишлени продукти от страната, спиране на прилагането на механизма на „входните цени“ по отношение на плодовете и зеленчуците, спиране на прилагането на тарифните квоти и пъл</w:t>
      </w:r>
      <w:r w:rsidR="00C63188">
        <w:rPr>
          <w:rFonts w:eastAsia="Batang"/>
          <w:bCs/>
        </w:rPr>
        <w:t xml:space="preserve">но премахване на вносните мита </w:t>
      </w:r>
      <w:r w:rsidRPr="00416DD6">
        <w:rPr>
          <w:rFonts w:eastAsia="Batang"/>
          <w:bCs/>
        </w:rPr>
        <w:t>и други.</w:t>
      </w:r>
      <w:r>
        <w:rPr>
          <w:rFonts w:eastAsia="Batang"/>
          <w:bCs/>
        </w:rPr>
        <w:t xml:space="preserve"> </w:t>
      </w:r>
    </w:p>
    <w:p w14:paraId="757E158C" w14:textId="77777777" w:rsidR="000B0BED" w:rsidRPr="008C38D6" w:rsidRDefault="000B0BED" w:rsidP="000B0BED">
      <w:pPr>
        <w:tabs>
          <w:tab w:val="right" w:pos="9072"/>
        </w:tabs>
        <w:spacing w:before="120"/>
        <w:jc w:val="both"/>
        <w:rPr>
          <w:color w:val="0070C0"/>
        </w:rPr>
      </w:pPr>
      <w:r w:rsidRPr="00692B45">
        <w:t xml:space="preserve">Най-значителен спад на приходите от мита през първите шест месеца на 2023 г. спрямо същия период на 2022 г. се регистрира при вноса на следните групи стоки: „Чугун, желязо и стомана“ – 23,4 млн. лева (81,8 % спад) спрямо постъпленията към края на юни 2022 г. </w:t>
      </w:r>
      <w:r w:rsidRPr="00DD615A">
        <w:t xml:space="preserve">„Торове“ – 9,1 млн. лева (спад от 65,9 %) спрямо същия период на 2022 г.; „Неорганични химични продукти; Неорганични или органични съединения на благородни метали, на радиоактивни </w:t>
      </w:r>
      <w:r w:rsidRPr="002F205F">
        <w:t>елементи, на редкоземни метали или на изотопи“ – 6,0  млн. лева (60,0 % спад) спрямо тези към края на юни 2022 г.; „Пластмаси и пластмасови изделия“ – 5,3 млн. лева (26,2 % спад) спрямо тези към края на юни 2022 г.; „Трикотажни платове“</w:t>
      </w:r>
      <w:r w:rsidRPr="002F205F">
        <w:rPr>
          <w:lang w:val="ru-RU"/>
        </w:rPr>
        <w:t xml:space="preserve"> </w:t>
      </w:r>
      <w:r w:rsidRPr="002F205F">
        <w:t xml:space="preserve">- 3,8 млн. лева (78,0 % спад) спрямо постъпленията към юни 2022 г. </w:t>
      </w:r>
    </w:p>
    <w:p w14:paraId="010D934D" w14:textId="3965BF5A" w:rsidR="000B0BED" w:rsidRPr="008E6298" w:rsidRDefault="000B0BED" w:rsidP="000B0BED">
      <w:pPr>
        <w:tabs>
          <w:tab w:val="right" w:pos="9072"/>
        </w:tabs>
        <w:spacing w:before="120"/>
        <w:jc w:val="both"/>
      </w:pPr>
      <w:r w:rsidRPr="008E6298">
        <w:t xml:space="preserve">В зависимост </w:t>
      </w:r>
      <w:r w:rsidR="008362B6">
        <w:t>от произхода на внасяните стоки</w:t>
      </w:r>
      <w:r w:rsidRPr="008E6298">
        <w:t xml:space="preserve"> най-голям е делът на приходите от мита при внос на стоки от Китай, като към края на юни 2023 г. постъпленията възлизат на 90,2 млн. лева, което представлява 55,7 % от всички декларирани мита и е отчетен спад спрямо същия период на 2022 г. от 11,5 %. На второ място по приходи от мита е вносът на стоки с произход Русия, с относителен дял от 7,2 %, следвани от приходите от мита при внос на стоки с произход САЩ - 3,8 % от всички мита. Приходите от внос на стоки с произход Турция имат относителен дял от 3,7 %, а постъпленията от мита от внос на стоки с произход Индия представляват 3,3 % от всички мита.</w:t>
      </w:r>
    </w:p>
    <w:p w14:paraId="00D892C5" w14:textId="77777777" w:rsidR="000B0BED" w:rsidRPr="006704B8" w:rsidRDefault="000B0BED" w:rsidP="000B0BED">
      <w:pPr>
        <w:numPr>
          <w:ilvl w:val="0"/>
          <w:numId w:val="4"/>
        </w:numPr>
        <w:tabs>
          <w:tab w:val="clear" w:pos="1440"/>
          <w:tab w:val="num" w:pos="540"/>
        </w:tabs>
        <w:spacing w:before="240"/>
        <w:ind w:left="0" w:firstLine="181"/>
        <w:jc w:val="both"/>
        <w:rPr>
          <w:b/>
          <w:bCs/>
        </w:rPr>
      </w:pPr>
      <w:r w:rsidRPr="006704B8">
        <w:rPr>
          <w:b/>
          <w:bCs/>
        </w:rPr>
        <w:t>Други данъци</w:t>
      </w:r>
    </w:p>
    <w:p w14:paraId="0F833FF9" w14:textId="77777777" w:rsidR="000B0BED" w:rsidRPr="008C38D6" w:rsidRDefault="000B0BED" w:rsidP="000B0BED">
      <w:pPr>
        <w:spacing w:before="120"/>
        <w:jc w:val="both"/>
        <w:rPr>
          <w:color w:val="0070C0"/>
        </w:rPr>
      </w:pPr>
      <w:r w:rsidRPr="006704B8">
        <w:t xml:space="preserve">Постъпленията от </w:t>
      </w:r>
      <w:r w:rsidRPr="006704B8">
        <w:rPr>
          <w:b/>
        </w:rPr>
        <w:t>други данъци</w:t>
      </w:r>
      <w:r w:rsidRPr="006704B8">
        <w:t xml:space="preserve"> по държавния бюджет </w:t>
      </w:r>
      <w:r w:rsidRPr="006704B8">
        <w:rPr>
          <w:bCs/>
        </w:rPr>
        <w:t>към края на юни 2023</w:t>
      </w:r>
      <w:r w:rsidRPr="006704B8">
        <w:t xml:space="preserve"> г. са в размер на </w:t>
      </w:r>
      <w:r w:rsidRPr="006704B8">
        <w:rPr>
          <w:b/>
        </w:rPr>
        <w:t>217,8 млн. лева.</w:t>
      </w:r>
      <w:r w:rsidRPr="006704B8">
        <w:t xml:space="preserve"> Влияние върху по-високия размер на тази група данъци за отчетния период оказват постъпленията от приетата временна солидарна вноска по Регламент (ЕС) 2022/1854 на Съвета от 6 октомври 2022 г. относно спешна намеса за справяне с високите цени на енергията. </w:t>
      </w:r>
      <w:r w:rsidRPr="000051D4">
        <w:t>Временната солидарна вноска се внася за данъчните печалби за 2022 г. и за 2023 г. от дружествата и местата на стопанска дейност от Съюза, извършващи дейност в отраслите на суровия нефт, природния газ, въглищата и нефтопреработването за генерираните свръхпечалби съгласно чл</w:t>
      </w:r>
      <w:r>
        <w:t xml:space="preserve">. </w:t>
      </w:r>
      <w:r w:rsidRPr="000051D4">
        <w:t>14 от Регламент (ЕС) 2022/1854 на Съвета от 6 октомври 2022 г. относно спешна намеса за справяне с високите цени на енергията (Регламент (ЕС) 2022/1854). Правилата за определяне на размера на дължимата временна солидарна вноска от предприятията от посочените сектори са регламентирани в Закона за корпоративното подоходно облагане (§ 9 от ПЗР на ЗКПО в сила от 8.10.2022 г. – ДВ, бр. 99 от 2022 г.), като е предоставена възможност, задължените лица да могат да правят авансови плащания по тази вноска</w:t>
      </w:r>
      <w:r w:rsidRPr="006704B8">
        <w:t>.</w:t>
      </w:r>
    </w:p>
    <w:p w14:paraId="3939FF78" w14:textId="77777777" w:rsidR="000B0BED" w:rsidRPr="00865CE9" w:rsidRDefault="000B0BED" w:rsidP="000B0BED">
      <w:pPr>
        <w:numPr>
          <w:ilvl w:val="0"/>
          <w:numId w:val="3"/>
        </w:numPr>
        <w:tabs>
          <w:tab w:val="num" w:pos="720"/>
        </w:tabs>
        <w:spacing w:before="120"/>
        <w:ind w:left="0" w:firstLine="181"/>
        <w:jc w:val="both"/>
      </w:pPr>
      <w:r w:rsidRPr="00865CE9">
        <w:rPr>
          <w:b/>
          <w:bCs/>
        </w:rPr>
        <w:t>Неданъчни приходи</w:t>
      </w:r>
    </w:p>
    <w:p w14:paraId="010A7F25" w14:textId="281B00AA" w:rsidR="000B0BED" w:rsidRPr="00865CE9" w:rsidRDefault="000B0BED" w:rsidP="000B0BED">
      <w:pPr>
        <w:tabs>
          <w:tab w:val="left" w:pos="900"/>
        </w:tabs>
        <w:spacing w:before="120" w:after="120"/>
        <w:jc w:val="both"/>
      </w:pPr>
      <w:r w:rsidRPr="00865CE9">
        <w:t>Отчетените</w:t>
      </w:r>
      <w:r w:rsidRPr="00865CE9">
        <w:rPr>
          <w:b/>
          <w:bCs/>
        </w:rPr>
        <w:t xml:space="preserve"> неданъчни приходи</w:t>
      </w:r>
      <w:r w:rsidRPr="00865CE9">
        <w:t xml:space="preserve"> по държавния бюджет </w:t>
      </w:r>
      <w:r w:rsidRPr="00865CE9">
        <w:rPr>
          <w:bCs/>
        </w:rPr>
        <w:t>към юни 2023</w:t>
      </w:r>
      <w:r w:rsidRPr="00865CE9">
        <w:t xml:space="preserve"> г. са в размер на </w:t>
      </w:r>
      <w:r w:rsidRPr="00865CE9">
        <w:rPr>
          <w:b/>
        </w:rPr>
        <w:t>2 729,5 млн. лв</w:t>
      </w:r>
      <w:r w:rsidRPr="00865CE9">
        <w:t xml:space="preserve">. и се формират основно от приходи от държавни такси, приходи и доходи от собственост, </w:t>
      </w:r>
      <w:r w:rsidRPr="005C119C">
        <w:t>вкл. приходи от дивидент за държавата от държавни</w:t>
      </w:r>
      <w:r>
        <w:t>те</w:t>
      </w:r>
      <w:r w:rsidRPr="005C119C">
        <w:t xml:space="preserve"> предприятия, приходи от ко</w:t>
      </w:r>
      <w:r w:rsidR="00EF5112">
        <w:t>нцесии,  приходи за Модернизационния фонд и други</w:t>
      </w:r>
      <w:r w:rsidRPr="00865CE9">
        <w:t>.</w:t>
      </w:r>
    </w:p>
    <w:p w14:paraId="0ABC5076" w14:textId="77777777" w:rsidR="000B0BED" w:rsidRPr="00635CA1" w:rsidRDefault="000B0BED" w:rsidP="000B0BED">
      <w:pPr>
        <w:numPr>
          <w:ilvl w:val="0"/>
          <w:numId w:val="3"/>
        </w:numPr>
        <w:tabs>
          <w:tab w:val="num" w:pos="720"/>
        </w:tabs>
        <w:ind w:left="0" w:firstLine="181"/>
        <w:jc w:val="both"/>
        <w:rPr>
          <w:b/>
          <w:bCs/>
        </w:rPr>
      </w:pPr>
      <w:r w:rsidRPr="00635CA1">
        <w:rPr>
          <w:b/>
          <w:bCs/>
        </w:rPr>
        <w:t>Помощи и дарения</w:t>
      </w:r>
    </w:p>
    <w:p w14:paraId="7567842D" w14:textId="77777777" w:rsidR="000B0BED" w:rsidRPr="00635CA1" w:rsidRDefault="000B0BED" w:rsidP="000B0BED">
      <w:pPr>
        <w:spacing w:before="120" w:after="120"/>
        <w:jc w:val="both"/>
      </w:pPr>
      <w:r w:rsidRPr="00635CA1">
        <w:t xml:space="preserve">Постъпилите </w:t>
      </w:r>
      <w:r w:rsidRPr="00635CA1">
        <w:rPr>
          <w:b/>
        </w:rPr>
        <w:t>помощи</w:t>
      </w:r>
      <w:r w:rsidRPr="00635CA1">
        <w:t xml:space="preserve"> </w:t>
      </w:r>
      <w:r w:rsidRPr="00635CA1">
        <w:rPr>
          <w:b/>
        </w:rPr>
        <w:t>и дарения</w:t>
      </w:r>
      <w:r w:rsidRPr="00635CA1">
        <w:t xml:space="preserve"> по държавния бюджет към юни 2023 г. са в размер на </w:t>
      </w:r>
      <w:r w:rsidRPr="00635CA1">
        <w:rPr>
          <w:b/>
        </w:rPr>
        <w:t>2,6 млн. лева.</w:t>
      </w:r>
    </w:p>
    <w:p w14:paraId="44CB6921" w14:textId="77777777" w:rsidR="00222173" w:rsidRPr="00173C2D" w:rsidRDefault="00222173" w:rsidP="00222173">
      <w:pPr>
        <w:numPr>
          <w:ilvl w:val="0"/>
          <w:numId w:val="6"/>
        </w:numPr>
        <w:tabs>
          <w:tab w:val="clear" w:pos="7650"/>
          <w:tab w:val="num" w:pos="426"/>
        </w:tabs>
        <w:spacing w:before="240"/>
        <w:ind w:left="0" w:firstLine="0"/>
        <w:jc w:val="both"/>
        <w:rPr>
          <w:b/>
          <w:bCs/>
        </w:rPr>
      </w:pPr>
      <w:r w:rsidRPr="00173C2D">
        <w:rPr>
          <w:b/>
          <w:bCs/>
        </w:rPr>
        <w:t>Разходи по държавния бюджет</w:t>
      </w:r>
    </w:p>
    <w:p w14:paraId="4A8CF459" w14:textId="77777777" w:rsidR="00222173" w:rsidRPr="0055349C" w:rsidRDefault="00222173" w:rsidP="00222173">
      <w:pPr>
        <w:jc w:val="both"/>
        <w:rPr>
          <w:b/>
          <w:bCs/>
          <w:color w:val="0070C0"/>
          <w:sz w:val="4"/>
          <w:szCs w:val="4"/>
        </w:rPr>
      </w:pPr>
    </w:p>
    <w:p w14:paraId="576037BD" w14:textId="77777777" w:rsidR="00916D65" w:rsidRPr="00B143B5" w:rsidRDefault="00916D65" w:rsidP="00916D65">
      <w:pPr>
        <w:pStyle w:val="BodyTextIndent"/>
        <w:spacing w:after="0"/>
        <w:ind w:left="0"/>
        <w:jc w:val="both"/>
      </w:pPr>
      <w:r w:rsidRPr="00B143B5">
        <w:t xml:space="preserve">Общият размер на </w:t>
      </w:r>
      <w:r w:rsidRPr="00B143B5">
        <w:rPr>
          <w:b/>
        </w:rPr>
        <w:t>разходите по държавния бюджет</w:t>
      </w:r>
      <w:r w:rsidRPr="00B143B5">
        <w:t xml:space="preserve"> </w:t>
      </w:r>
      <w:r w:rsidRPr="00B143B5">
        <w:rPr>
          <w:lang w:val="ru-RU"/>
        </w:rPr>
        <w:t xml:space="preserve">(вкл. трансферите за др. бюджети и вноската в бюджета на ЕС) </w:t>
      </w:r>
      <w:r w:rsidRPr="00B143B5">
        <w:rPr>
          <w:bCs/>
        </w:rPr>
        <w:t>към юни 2023</w:t>
      </w:r>
      <w:r w:rsidRPr="00B143B5">
        <w:t xml:space="preserve"> г. е </w:t>
      </w:r>
      <w:r w:rsidRPr="00B143B5">
        <w:rPr>
          <w:b/>
        </w:rPr>
        <w:t>19 199,8 млн. лв</w:t>
      </w:r>
      <w:r w:rsidRPr="00B143B5">
        <w:t xml:space="preserve">., като нарастват с 2 317,4 млн. лв. </w:t>
      </w:r>
      <w:r w:rsidRPr="00B143B5">
        <w:rPr>
          <w:lang w:val="ru-RU"/>
        </w:rPr>
        <w:t>(</w:t>
      </w:r>
      <w:r w:rsidRPr="00B143B5">
        <w:t>13,7 %</w:t>
      </w:r>
      <w:r w:rsidRPr="00B143B5">
        <w:rPr>
          <w:lang w:val="ru-RU"/>
        </w:rPr>
        <w:t>)</w:t>
      </w:r>
      <w:r w:rsidRPr="00B143B5">
        <w:t xml:space="preserve"> спрямо отчетените към юни 2022 година.</w:t>
      </w:r>
    </w:p>
    <w:p w14:paraId="21472A80" w14:textId="40EA5DFB" w:rsidR="00916D65" w:rsidRDefault="00916D65" w:rsidP="00916D65">
      <w:pPr>
        <w:pStyle w:val="BodyTextIndent"/>
        <w:spacing w:after="0"/>
        <w:ind w:left="0"/>
        <w:jc w:val="both"/>
        <w:rPr>
          <w:color w:val="0070C0"/>
        </w:rPr>
      </w:pPr>
    </w:p>
    <w:p w14:paraId="7A2437B4" w14:textId="77777777" w:rsidR="00565365" w:rsidRPr="008C38D6" w:rsidRDefault="00565365" w:rsidP="00916D65">
      <w:pPr>
        <w:pStyle w:val="BodyTextIndent"/>
        <w:spacing w:after="0"/>
        <w:ind w:left="0"/>
        <w:jc w:val="both"/>
        <w:rPr>
          <w:color w:val="0070C0"/>
        </w:rPr>
      </w:pPr>
    </w:p>
    <w:p w14:paraId="42362600" w14:textId="77777777" w:rsidR="00916D65" w:rsidRPr="008C38D6" w:rsidRDefault="00916D65" w:rsidP="00916D65">
      <w:pPr>
        <w:pStyle w:val="BodyTextIndent"/>
        <w:spacing w:after="0"/>
        <w:ind w:left="0"/>
        <w:jc w:val="both"/>
        <w:rPr>
          <w:color w:val="0070C0"/>
          <w:sz w:val="8"/>
          <w:lang w:val="ru-RU"/>
        </w:rPr>
      </w:pPr>
    </w:p>
    <w:p w14:paraId="325C9C00" w14:textId="77777777" w:rsidR="00916D65" w:rsidRPr="008C38D6" w:rsidRDefault="00916D65" w:rsidP="00916D65">
      <w:pPr>
        <w:pStyle w:val="BodyTextIndent"/>
        <w:spacing w:after="0"/>
        <w:ind w:left="0"/>
        <w:jc w:val="center"/>
        <w:rPr>
          <w:b/>
          <w:color w:val="0070C0"/>
          <w:sz w:val="4"/>
          <w:szCs w:val="4"/>
          <w:u w:val="single"/>
        </w:rPr>
      </w:pPr>
    </w:p>
    <w:p w14:paraId="25D98936" w14:textId="77777777" w:rsidR="00916D65" w:rsidRPr="00F36A23" w:rsidRDefault="00916D65" w:rsidP="00916D65">
      <w:pPr>
        <w:pStyle w:val="BodyTextIndent"/>
        <w:spacing w:after="0"/>
        <w:ind w:left="0"/>
        <w:jc w:val="center"/>
        <w:rPr>
          <w:b/>
          <w:u w:val="single"/>
        </w:rPr>
      </w:pPr>
      <w:r w:rsidRPr="00F36A23">
        <w:rPr>
          <w:b/>
          <w:u w:val="single"/>
        </w:rPr>
        <w:t xml:space="preserve">Разходи, трансфери за други бюджети и вноска в бюджета на ЕС </w:t>
      </w:r>
    </w:p>
    <w:p w14:paraId="2571B4F6" w14:textId="77777777" w:rsidR="00916D65" w:rsidRPr="00F36A23" w:rsidRDefault="00916D65" w:rsidP="00916D65">
      <w:pPr>
        <w:pStyle w:val="BodyTextIndent"/>
        <w:spacing w:after="0"/>
        <w:ind w:left="0"/>
        <w:jc w:val="center"/>
        <w:rPr>
          <w:b/>
          <w:u w:val="single"/>
        </w:rPr>
      </w:pPr>
      <w:r w:rsidRPr="00F36A23">
        <w:rPr>
          <w:b/>
          <w:u w:val="single"/>
        </w:rPr>
        <w:t>към юни 2022 г. и 2023 г.</w:t>
      </w:r>
    </w:p>
    <w:p w14:paraId="1637FAC4" w14:textId="77777777" w:rsidR="00916D65" w:rsidRPr="008C38D6" w:rsidRDefault="00916D65" w:rsidP="00916D65">
      <w:pPr>
        <w:pStyle w:val="BodyTextIndent"/>
        <w:spacing w:after="0"/>
        <w:ind w:left="0"/>
        <w:jc w:val="center"/>
        <w:rPr>
          <w:b/>
          <w:color w:val="0070C0"/>
          <w:u w:val="single"/>
        </w:rPr>
      </w:pPr>
    </w:p>
    <w:p w14:paraId="7C9BE9EC" w14:textId="77777777" w:rsidR="00916D65" w:rsidRPr="008C38D6" w:rsidRDefault="00916D65" w:rsidP="00916D65">
      <w:pPr>
        <w:pStyle w:val="BodyTextIndent"/>
        <w:spacing w:after="0"/>
        <w:ind w:left="0"/>
        <w:jc w:val="center"/>
        <w:rPr>
          <w:b/>
          <w:color w:val="0070C0"/>
          <w:u w:val="single"/>
        </w:rPr>
      </w:pPr>
      <w:r w:rsidRPr="008C38D6">
        <w:rPr>
          <w:noProof/>
          <w:color w:val="0070C0"/>
          <w:lang w:eastAsia="bg-BG"/>
        </w:rPr>
        <w:drawing>
          <wp:inline distT="0" distB="0" distL="0" distR="0" wp14:anchorId="1E2EEA71" wp14:editId="08E4BCCF">
            <wp:extent cx="5314950" cy="2543512"/>
            <wp:effectExtent l="0" t="0" r="0" b="9525"/>
            <wp:docPr id="3"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469EFD5" w14:textId="77777777" w:rsidR="00916D65" w:rsidRPr="008C38D6" w:rsidRDefault="00916D65" w:rsidP="00916D65">
      <w:pPr>
        <w:pStyle w:val="BodyTextIndent"/>
        <w:spacing w:after="0"/>
        <w:ind w:left="0"/>
        <w:jc w:val="center"/>
        <w:rPr>
          <w:b/>
          <w:color w:val="0070C0"/>
          <w:sz w:val="8"/>
          <w:szCs w:val="8"/>
          <w:u w:val="single"/>
        </w:rPr>
      </w:pPr>
    </w:p>
    <w:p w14:paraId="6F2283D6" w14:textId="77777777" w:rsidR="00916D65" w:rsidRDefault="00916D65" w:rsidP="00916D65">
      <w:pPr>
        <w:ind w:firstLine="360"/>
        <w:rPr>
          <w:sz w:val="18"/>
          <w:szCs w:val="18"/>
        </w:rPr>
      </w:pPr>
      <w:bookmarkStart w:id="5" w:name="_MON_1562146415"/>
      <w:bookmarkStart w:id="6" w:name="_MON_1562146493"/>
      <w:bookmarkStart w:id="7" w:name="_MON_1562146700"/>
      <w:bookmarkStart w:id="8" w:name="_MON_1562146782"/>
      <w:bookmarkStart w:id="9" w:name="_MON_1562146967"/>
      <w:bookmarkStart w:id="10" w:name="_MON_1562147372"/>
      <w:bookmarkStart w:id="11" w:name="_MON_1562147473"/>
      <w:bookmarkStart w:id="12" w:name="_MON_1562147677"/>
      <w:bookmarkStart w:id="13" w:name="_MON_1562147743"/>
      <w:bookmarkStart w:id="14" w:name="_MON_1562147867"/>
      <w:bookmarkStart w:id="15" w:name="_MON_1562147934"/>
      <w:bookmarkStart w:id="16" w:name="_MON_1562148056"/>
      <w:bookmarkStart w:id="17" w:name="_MON_1562148171"/>
      <w:bookmarkStart w:id="18" w:name="_MON_1562148229"/>
      <w:bookmarkStart w:id="19" w:name="_MON_1562148307"/>
      <w:bookmarkStart w:id="20" w:name="_MON_1562148447"/>
      <w:bookmarkStart w:id="21" w:name="_MON_1562148558"/>
      <w:bookmarkStart w:id="22" w:name="_MON_1562152805"/>
      <w:bookmarkStart w:id="23" w:name="_MON_1562152984"/>
      <w:bookmarkStart w:id="24" w:name="_MON_1562153459"/>
      <w:bookmarkStart w:id="25" w:name="_MON_1562153503"/>
      <w:bookmarkStart w:id="26" w:name="_MON_1562153559"/>
      <w:bookmarkStart w:id="27" w:name="_MON_1562153646"/>
      <w:bookmarkStart w:id="28" w:name="_MON_1562153939"/>
      <w:bookmarkStart w:id="29" w:name="_MON_1562154053"/>
      <w:bookmarkStart w:id="30" w:name="_MON_1562154282"/>
      <w:bookmarkStart w:id="31" w:name="_MON_1562146286"/>
      <w:bookmarkStart w:id="32" w:name="_MON_1562154881"/>
      <w:bookmarkStart w:id="33" w:name="_MON_1562154973"/>
      <w:bookmarkStart w:id="34" w:name="_MON_1562155194"/>
      <w:bookmarkStart w:id="35" w:name="_MON_1562155231"/>
      <w:bookmarkStart w:id="36" w:name="_MON_1562155321"/>
      <w:bookmarkStart w:id="37" w:name="_MON_156215539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F36A23">
        <w:rPr>
          <w:sz w:val="18"/>
          <w:szCs w:val="18"/>
        </w:rPr>
        <w:t>*</w:t>
      </w:r>
      <w:r w:rsidRPr="00F36A23">
        <w:t xml:space="preserve"> </w:t>
      </w:r>
      <w:r w:rsidRPr="00F36A23">
        <w:rPr>
          <w:sz w:val="18"/>
          <w:szCs w:val="18"/>
        </w:rPr>
        <w:t>Вкл. нетния прираст на държавния резерв</w:t>
      </w:r>
    </w:p>
    <w:p w14:paraId="1A289132" w14:textId="77777777" w:rsidR="00916D65" w:rsidRPr="00F36A23" w:rsidRDefault="00916D65" w:rsidP="00916D65">
      <w:pPr>
        <w:ind w:firstLine="360"/>
        <w:rPr>
          <w:sz w:val="18"/>
          <w:szCs w:val="18"/>
        </w:rPr>
      </w:pPr>
    </w:p>
    <w:p w14:paraId="2156E6BC" w14:textId="77777777" w:rsidR="00916D65" w:rsidRPr="00290FCE" w:rsidRDefault="00916D65" w:rsidP="00916D65">
      <w:pPr>
        <w:pStyle w:val="BodyTextIndent"/>
        <w:numPr>
          <w:ilvl w:val="0"/>
          <w:numId w:val="17"/>
        </w:numPr>
        <w:spacing w:before="120" w:after="0"/>
        <w:jc w:val="both"/>
        <w:rPr>
          <w:b/>
          <w:bCs/>
        </w:rPr>
      </w:pPr>
      <w:r w:rsidRPr="00290FCE">
        <w:rPr>
          <w:b/>
          <w:bCs/>
        </w:rPr>
        <w:t>Нелихвени разходи</w:t>
      </w:r>
    </w:p>
    <w:p w14:paraId="1DDE7D49" w14:textId="2D4AD409" w:rsidR="00916D65" w:rsidRPr="00290FCE" w:rsidRDefault="00916D65" w:rsidP="00916D65">
      <w:pPr>
        <w:spacing w:before="120"/>
        <w:jc w:val="both"/>
        <w:rPr>
          <w:bCs/>
        </w:rPr>
      </w:pPr>
      <w:r w:rsidRPr="00290FCE">
        <w:rPr>
          <w:b/>
          <w:bCs/>
        </w:rPr>
        <w:t>Нелихвените разходи</w:t>
      </w:r>
      <w:r w:rsidRPr="00290FCE">
        <w:rPr>
          <w:bCs/>
        </w:rPr>
        <w:t xml:space="preserve"> по държавния бюджет към юни 2023</w:t>
      </w:r>
      <w:r w:rsidRPr="00290FCE">
        <w:rPr>
          <w:lang w:val="en-US"/>
        </w:rPr>
        <w:t> </w:t>
      </w:r>
      <w:r w:rsidRPr="00290FCE">
        <w:t xml:space="preserve">г. </w:t>
      </w:r>
      <w:r w:rsidRPr="00290FCE">
        <w:rPr>
          <w:bCs/>
        </w:rPr>
        <w:t xml:space="preserve">са в размер на </w:t>
      </w:r>
      <w:r w:rsidRPr="00290FCE">
        <w:rPr>
          <w:b/>
          <w:bCs/>
        </w:rPr>
        <w:t>7 347,9 млн. лв</w:t>
      </w:r>
      <w:r w:rsidRPr="00290FCE">
        <w:rPr>
          <w:bCs/>
        </w:rPr>
        <w:t xml:space="preserve">., като нарастват с 505,6 млн. лв. </w:t>
      </w:r>
      <w:r w:rsidRPr="00290FCE">
        <w:rPr>
          <w:bCs/>
          <w:lang w:val="ru-RU"/>
        </w:rPr>
        <w:t>(7,4</w:t>
      </w:r>
      <w:r w:rsidRPr="00290FCE">
        <w:rPr>
          <w:bCs/>
        </w:rPr>
        <w:t xml:space="preserve"> %</w:t>
      </w:r>
      <w:r w:rsidRPr="00290FCE">
        <w:rPr>
          <w:bCs/>
          <w:lang w:val="ru-RU"/>
        </w:rPr>
        <w:t>)</w:t>
      </w:r>
      <w:r w:rsidRPr="00290FCE">
        <w:rPr>
          <w:bCs/>
        </w:rPr>
        <w:t xml:space="preserve"> в сравнение с отчетените за същия период на предходната година. </w:t>
      </w:r>
    </w:p>
    <w:p w14:paraId="7B791BD4" w14:textId="5D6ED9F8" w:rsidR="00916D65" w:rsidRPr="008C38D6" w:rsidRDefault="00916D65" w:rsidP="00916D65">
      <w:pPr>
        <w:spacing w:before="120" w:after="120"/>
        <w:jc w:val="both"/>
        <w:rPr>
          <w:bCs/>
          <w:color w:val="0070C0"/>
        </w:rPr>
      </w:pPr>
      <w:r w:rsidRPr="00A17622">
        <w:rPr>
          <w:bCs/>
        </w:rPr>
        <w:t xml:space="preserve">Разходите за персонал (заплати и възнаграждения, други възнаграждения и плащания за персонала и осигурителни вноски) са в общ размер на 3 874,3 млн. лв. или ръст от 485,3 млн. лв. (14,3 </w:t>
      </w:r>
      <w:r w:rsidRPr="00826B77">
        <w:rPr>
          <w:bCs/>
        </w:rPr>
        <w:t xml:space="preserve">%) спрямо отчетените към юни 2022 г. Разходите за издръжка (вкл. разходи за членски внос и участие в нетърговски организации и дейности и платени данъци, такси и </w:t>
      </w:r>
      <w:r w:rsidRPr="009B775B">
        <w:rPr>
          <w:bCs/>
        </w:rPr>
        <w:t>административни санкции) са в размер на 1 658,6 млн. лв., като са намаляват с 35,1 млн. лв. (2,1</w:t>
      </w:r>
      <w:r w:rsidR="002E0E3A">
        <w:rPr>
          <w:bCs/>
        </w:rPr>
        <w:t> </w:t>
      </w:r>
      <w:r w:rsidRPr="009B775B">
        <w:rPr>
          <w:bCs/>
        </w:rPr>
        <w:t xml:space="preserve">%) спрямо същия период на 2022 г. Социалните разходи (вкл. разходите за стипендии) са в размер на 452,6 млн. лв. Предоставените текущи и капиталови трансфери за чужбина са в размер на 1,3 млн. лв. Разходите за субсидии са в размер на 782,1 млн. лв. </w:t>
      </w:r>
      <w:r w:rsidRPr="007D22E7">
        <w:rPr>
          <w:bCs/>
        </w:rPr>
        <w:t xml:space="preserve">От тях </w:t>
      </w:r>
      <w:r w:rsidRPr="007D22E7">
        <w:rPr>
          <w:bCs/>
          <w:lang w:val="ru-RU"/>
        </w:rPr>
        <w:t>97,4</w:t>
      </w:r>
      <w:r w:rsidRPr="007D22E7">
        <w:rPr>
          <w:bCs/>
        </w:rPr>
        <w:t xml:space="preserve"> млн. лв. са субсидиите за „БДЖ – Пътнически превози” ЕООД; </w:t>
      </w:r>
      <w:r w:rsidRPr="00424494">
        <w:rPr>
          <w:bCs/>
        </w:rPr>
        <w:t>130,7 млн. лв. са субсидиите за Национална компания „Железопътна инфраструктура” и 29,9 млн. лв. за „Български пощи” ЕАД, в т.ч. 17,6</w:t>
      </w:r>
      <w:r w:rsidR="002E0E3A">
        <w:rPr>
          <w:bCs/>
        </w:rPr>
        <w:t> </w:t>
      </w:r>
      <w:r w:rsidRPr="00424494">
        <w:rPr>
          <w:bCs/>
        </w:rPr>
        <w:t xml:space="preserve">млн. лв. за извършване на универсална пощенска услуга </w:t>
      </w:r>
      <w:r w:rsidRPr="0092416A">
        <w:rPr>
          <w:bCs/>
        </w:rPr>
        <w:t>и 12,2 млн. лв. за разпространение на периодични печатни издания - вестници и списания. Към края на месец юни 2023 г. ДФ „Земеделие“ e изплатил субсидии в общ размер на 299,8 млн. лв., от които 224,5</w:t>
      </w:r>
      <w:r w:rsidR="00386BAA">
        <w:rPr>
          <w:bCs/>
        </w:rPr>
        <w:t xml:space="preserve"> млн. лв. държавна помощ; </w:t>
      </w:r>
      <w:r w:rsidRPr="00154671">
        <w:rPr>
          <w:bCs/>
        </w:rPr>
        <w:t>69,7 млн. лв. преходна национална помощ за тютюн; 0,2 млн. лв. преходна национална помощ за сектор „Животновъдство“ и 5,2 млн. лв. средства за ДДС по схеми „Училищен плод“ и „Училищно мляко“.</w:t>
      </w:r>
    </w:p>
    <w:p w14:paraId="702D8AB3" w14:textId="77777777" w:rsidR="00916D65" w:rsidRDefault="00916D65" w:rsidP="00916D65">
      <w:pPr>
        <w:spacing w:before="120" w:after="120"/>
        <w:jc w:val="both"/>
        <w:rPr>
          <w:bCs/>
          <w:lang w:val="ru-RU"/>
        </w:rPr>
      </w:pPr>
      <w:r w:rsidRPr="00B43C3D">
        <w:rPr>
          <w:bCs/>
          <w:i/>
        </w:rPr>
        <w:t>Капиталовите разходи</w:t>
      </w:r>
      <w:r w:rsidRPr="00B43C3D">
        <w:rPr>
          <w:bCs/>
        </w:rPr>
        <w:t xml:space="preserve"> (вкл. нетния прираст на държавния резерв) по държавния бюджет възлизат на 579,0 млн. лв., от </w:t>
      </w:r>
      <w:r w:rsidRPr="003255EC">
        <w:rPr>
          <w:bCs/>
        </w:rPr>
        <w:t>които 168,1 млн</w:t>
      </w:r>
      <w:r w:rsidRPr="005B47AD">
        <w:rPr>
          <w:bCs/>
        </w:rPr>
        <w:t xml:space="preserve">. лв. капиталови разходи по бюджета на Министерството на регионалното развитие и благоустройство </w:t>
      </w:r>
      <w:r w:rsidRPr="00A63901">
        <w:rPr>
          <w:bCs/>
        </w:rPr>
        <w:t xml:space="preserve">и 171,4 млн. лв. по бюджета на Министерство на отбраната. </w:t>
      </w:r>
      <w:r w:rsidRPr="00F41D9C">
        <w:rPr>
          <w:bCs/>
        </w:rPr>
        <w:t>През януари 2023 г. има възстановени средства (в размер на 8,3 млн. лв.) от предоставен капиталов трансфер през 2022 г. на „БДЖ-Пътнически превози“ ЕООД в съответствие с чл. 9 от ПМС № 31/2022 година</w:t>
      </w:r>
      <w:r w:rsidRPr="00F41D9C">
        <w:rPr>
          <w:bCs/>
          <w:lang w:val="ru-RU"/>
        </w:rPr>
        <w:t>.</w:t>
      </w:r>
    </w:p>
    <w:p w14:paraId="60575E16" w14:textId="77777777" w:rsidR="00686EF0" w:rsidRPr="004D0E36" w:rsidRDefault="00686EF0" w:rsidP="00ED2B9A">
      <w:pPr>
        <w:numPr>
          <w:ilvl w:val="1"/>
          <w:numId w:val="12"/>
        </w:numPr>
        <w:tabs>
          <w:tab w:val="num" w:pos="720"/>
          <w:tab w:val="num" w:pos="900"/>
        </w:tabs>
        <w:spacing w:before="240" w:after="120"/>
        <w:ind w:left="714" w:hanging="357"/>
        <w:jc w:val="both"/>
        <w:rPr>
          <w:b/>
          <w:bCs/>
        </w:rPr>
      </w:pPr>
      <w:r w:rsidRPr="004D0E36">
        <w:rPr>
          <w:b/>
        </w:rPr>
        <w:t>Просрочени задължения</w:t>
      </w:r>
    </w:p>
    <w:p w14:paraId="12C15B0B" w14:textId="63F9E8B4" w:rsidR="00EB3EAF" w:rsidRPr="0055349C" w:rsidRDefault="00EB3EAF" w:rsidP="00EB3EAF">
      <w:pPr>
        <w:spacing w:after="120"/>
        <w:jc w:val="both"/>
        <w:rPr>
          <w:color w:val="0070C0"/>
        </w:rPr>
      </w:pPr>
      <w:r w:rsidRPr="004D0E36">
        <w:t xml:space="preserve">Към </w:t>
      </w:r>
      <w:r w:rsidR="004D0E36" w:rsidRPr="004D0E36">
        <w:t>30</w:t>
      </w:r>
      <w:r w:rsidRPr="004D0E36">
        <w:t>.</w:t>
      </w:r>
      <w:r w:rsidR="004D0E36" w:rsidRPr="004D0E36">
        <w:t>06</w:t>
      </w:r>
      <w:r w:rsidRPr="004D0E36">
        <w:t>.202</w:t>
      </w:r>
      <w:r w:rsidR="00633965" w:rsidRPr="004D0E36">
        <w:rPr>
          <w:lang w:val="ru-RU"/>
        </w:rPr>
        <w:t>3</w:t>
      </w:r>
      <w:r w:rsidRPr="004D0E36">
        <w:t xml:space="preserve"> г. просрочените задължения на централно и местно правителство са в размер на </w:t>
      </w:r>
      <w:r w:rsidR="009953A7">
        <w:rPr>
          <w:b/>
        </w:rPr>
        <w:t>348,3</w:t>
      </w:r>
      <w:r w:rsidRPr="00727F78">
        <w:rPr>
          <w:b/>
        </w:rPr>
        <w:t xml:space="preserve"> млн. лева.</w:t>
      </w:r>
      <w:r w:rsidRPr="00727F78">
        <w:t xml:space="preserve"> </w:t>
      </w:r>
    </w:p>
    <w:p w14:paraId="1ECE81CD" w14:textId="105CFD93" w:rsidR="00EB3EAF" w:rsidRPr="0055349C" w:rsidRDefault="00EB3EAF" w:rsidP="00D822E5">
      <w:pPr>
        <w:spacing w:before="120"/>
        <w:jc w:val="both"/>
        <w:rPr>
          <w:noProof/>
          <w:color w:val="0070C0"/>
        </w:rPr>
      </w:pPr>
      <w:r w:rsidRPr="00414721">
        <w:t xml:space="preserve">Размерът на просрочените задължения на </w:t>
      </w:r>
      <w:r w:rsidRPr="00414721">
        <w:rPr>
          <w:b/>
        </w:rPr>
        <w:t>централно</w:t>
      </w:r>
      <w:r w:rsidR="008362B6">
        <w:rPr>
          <w:b/>
        </w:rPr>
        <w:t>то</w:t>
      </w:r>
      <w:r w:rsidRPr="00414721">
        <w:rPr>
          <w:b/>
        </w:rPr>
        <w:t xml:space="preserve"> правителство</w:t>
      </w:r>
      <w:r w:rsidRPr="00414721">
        <w:t xml:space="preserve"> (министерства, ведомства и разпоредителите с бюджет по чл. 13, ал. 3 и ал. 4 на ЗПФ) е</w:t>
      </w:r>
      <w:r w:rsidR="00BD0457" w:rsidRPr="00414721">
        <w:rPr>
          <w:b/>
        </w:rPr>
        <w:t xml:space="preserve"> </w:t>
      </w:r>
      <w:r w:rsidR="00414721" w:rsidRPr="00414721">
        <w:rPr>
          <w:b/>
        </w:rPr>
        <w:t>259,1</w:t>
      </w:r>
      <w:r w:rsidRPr="00414721">
        <w:rPr>
          <w:b/>
        </w:rPr>
        <w:t xml:space="preserve"> млн. лева. </w:t>
      </w:r>
      <w:r w:rsidRPr="00414721">
        <w:t>Спрямо отчетените в края на 202</w:t>
      </w:r>
      <w:r w:rsidR="00370192" w:rsidRPr="00414721">
        <w:t>2</w:t>
      </w:r>
      <w:r w:rsidRPr="00414721">
        <w:t xml:space="preserve"> г. те намаляват с </w:t>
      </w:r>
      <w:r w:rsidR="00414721" w:rsidRPr="00414721">
        <w:t>296,2</w:t>
      </w:r>
      <w:r w:rsidRPr="00414721">
        <w:t xml:space="preserve"> млн. </w:t>
      </w:r>
      <w:r w:rsidRPr="00D667D9">
        <w:t xml:space="preserve">лева (основно от намаление на просрочията на МРРБ във връзка с обезпечени със средства </w:t>
      </w:r>
      <w:r w:rsidRPr="00D667D9">
        <w:rPr>
          <w:noProof/>
        </w:rPr>
        <w:t>договори за текущ ремонт и поддържане на републиканските пътища, вкл. и зимно поддържане</w:t>
      </w:r>
      <w:r w:rsidRPr="00D667D9">
        <w:t xml:space="preserve">). В обхвата на държавния бюджет по-значими проблеми с наличие на просрочени задължения има </w:t>
      </w:r>
      <w:r w:rsidRPr="00D667D9">
        <w:rPr>
          <w:bCs/>
        </w:rPr>
        <w:t xml:space="preserve">при </w:t>
      </w:r>
      <w:r w:rsidR="007F052C" w:rsidRPr="00D667D9">
        <w:rPr>
          <w:bCs/>
        </w:rPr>
        <w:t>следните</w:t>
      </w:r>
      <w:r w:rsidRPr="00D667D9">
        <w:rPr>
          <w:bCs/>
        </w:rPr>
        <w:t xml:space="preserve"> министерства</w:t>
      </w:r>
      <w:r w:rsidR="007F052C" w:rsidRPr="00D667D9">
        <w:t xml:space="preserve">: </w:t>
      </w:r>
      <w:r w:rsidRPr="00D667D9">
        <w:rPr>
          <w:bCs/>
        </w:rPr>
        <w:t xml:space="preserve"> </w:t>
      </w:r>
      <w:r w:rsidR="00370192" w:rsidRPr="00032B7F">
        <w:rPr>
          <w:bCs/>
        </w:rPr>
        <w:t>Министерство</w:t>
      </w:r>
      <w:r w:rsidR="008362B6">
        <w:rPr>
          <w:bCs/>
        </w:rPr>
        <w:t>то</w:t>
      </w:r>
      <w:r w:rsidR="00370192" w:rsidRPr="00032B7F">
        <w:rPr>
          <w:bCs/>
        </w:rPr>
        <w:t xml:space="preserve"> на регионалното развитие и благоустройството – </w:t>
      </w:r>
      <w:r w:rsidR="00032B7F" w:rsidRPr="00032B7F">
        <w:rPr>
          <w:bCs/>
        </w:rPr>
        <w:t>192,9</w:t>
      </w:r>
      <w:r w:rsidR="00370192" w:rsidRPr="00032B7F">
        <w:rPr>
          <w:bCs/>
        </w:rPr>
        <w:t xml:space="preserve"> млн. лв. </w:t>
      </w:r>
      <w:r w:rsidR="00380210" w:rsidRPr="00032B7F">
        <w:rPr>
          <w:noProof/>
        </w:rPr>
        <w:t xml:space="preserve">(намаление с </w:t>
      </w:r>
      <w:r w:rsidR="00F466B3">
        <w:rPr>
          <w:noProof/>
        </w:rPr>
        <w:t>313,6</w:t>
      </w:r>
      <w:r w:rsidR="00380210" w:rsidRPr="00032B7F">
        <w:rPr>
          <w:noProof/>
        </w:rPr>
        <w:t xml:space="preserve"> млн. лв.</w:t>
      </w:r>
      <w:r w:rsidR="00380210" w:rsidRPr="00032B7F">
        <w:t xml:space="preserve"> спрямо просрочията в края на 2022 г.</w:t>
      </w:r>
      <w:r w:rsidR="008362B6">
        <w:t>)</w:t>
      </w:r>
      <w:r w:rsidR="003E73AA" w:rsidRPr="003E73AA">
        <w:rPr>
          <w:lang w:val="ru-RU"/>
        </w:rPr>
        <w:t xml:space="preserve">; </w:t>
      </w:r>
      <w:r w:rsidR="00F722BE" w:rsidRPr="00AC4342">
        <w:rPr>
          <w:noProof/>
        </w:rPr>
        <w:t>Министерство</w:t>
      </w:r>
      <w:r w:rsidR="008362B6">
        <w:rPr>
          <w:noProof/>
        </w:rPr>
        <w:t>то</w:t>
      </w:r>
      <w:r w:rsidR="00F722BE" w:rsidRPr="00AC4342">
        <w:rPr>
          <w:noProof/>
        </w:rPr>
        <w:t xml:space="preserve"> на земеделието</w:t>
      </w:r>
      <w:r w:rsidR="00E83A5E">
        <w:rPr>
          <w:noProof/>
        </w:rPr>
        <w:t xml:space="preserve"> и храните</w:t>
      </w:r>
      <w:r w:rsidR="00F722BE" w:rsidRPr="00AC4342">
        <w:rPr>
          <w:noProof/>
        </w:rPr>
        <w:t xml:space="preserve"> – </w:t>
      </w:r>
      <w:r w:rsidR="00AC4342" w:rsidRPr="00AC4342">
        <w:rPr>
          <w:noProof/>
        </w:rPr>
        <w:t>23,8</w:t>
      </w:r>
      <w:r w:rsidR="00F722BE" w:rsidRPr="00AC4342">
        <w:rPr>
          <w:noProof/>
        </w:rPr>
        <w:t xml:space="preserve"> млн. лв. (увеличение с </w:t>
      </w:r>
      <w:r w:rsidR="00AC4342" w:rsidRPr="00AC4342">
        <w:rPr>
          <w:noProof/>
        </w:rPr>
        <w:t>3,4</w:t>
      </w:r>
      <w:r w:rsidR="00F722BE" w:rsidRPr="00AC4342">
        <w:rPr>
          <w:noProof/>
        </w:rPr>
        <w:t xml:space="preserve"> млн. лв. </w:t>
      </w:r>
      <w:r w:rsidR="00F722BE" w:rsidRPr="00AC4342">
        <w:t>спрямо просрочията в края на 202</w:t>
      </w:r>
      <w:r w:rsidR="00517CD0" w:rsidRPr="00AC4342">
        <w:t>2</w:t>
      </w:r>
      <w:r w:rsidR="00F722BE" w:rsidRPr="00AC4342">
        <w:t> г.</w:t>
      </w:r>
      <w:r w:rsidR="00F722BE" w:rsidRPr="00AC4342">
        <w:rPr>
          <w:noProof/>
        </w:rPr>
        <w:t xml:space="preserve">); </w:t>
      </w:r>
      <w:r w:rsidR="00AC4342" w:rsidRPr="00AC4342">
        <w:rPr>
          <w:noProof/>
        </w:rPr>
        <w:t>Министерство</w:t>
      </w:r>
      <w:r w:rsidR="008362B6">
        <w:rPr>
          <w:noProof/>
        </w:rPr>
        <w:t>то</w:t>
      </w:r>
      <w:r w:rsidR="00AC4342" w:rsidRPr="00AC4342">
        <w:rPr>
          <w:noProof/>
        </w:rPr>
        <w:t xml:space="preserve"> на околната среда и водите – </w:t>
      </w:r>
      <w:r w:rsidR="00BE2024" w:rsidRPr="00AC4342">
        <w:rPr>
          <w:noProof/>
        </w:rPr>
        <w:t xml:space="preserve">10,0 млн. лв. (увеличение със 7,1 млн. лв. </w:t>
      </w:r>
      <w:r w:rsidR="00BE2024" w:rsidRPr="00AC4342">
        <w:t>спрямо просрочията в края на 2022 г.</w:t>
      </w:r>
      <w:r w:rsidR="00BE2024" w:rsidRPr="00AC4342">
        <w:rPr>
          <w:noProof/>
        </w:rPr>
        <w:t>)</w:t>
      </w:r>
      <w:r w:rsidR="00AC4342" w:rsidRPr="00AC4342">
        <w:rPr>
          <w:noProof/>
        </w:rPr>
        <w:t xml:space="preserve">; </w:t>
      </w:r>
      <w:r w:rsidR="00380210" w:rsidRPr="00AC4342">
        <w:rPr>
          <w:noProof/>
        </w:rPr>
        <w:t>Министерство</w:t>
      </w:r>
      <w:r w:rsidR="008362B6">
        <w:rPr>
          <w:noProof/>
        </w:rPr>
        <w:t>то</w:t>
      </w:r>
      <w:r w:rsidR="00380210" w:rsidRPr="00AC4342">
        <w:rPr>
          <w:noProof/>
        </w:rPr>
        <w:t xml:space="preserve"> </w:t>
      </w:r>
      <w:r w:rsidR="007F7CD3" w:rsidRPr="00C44DA1">
        <w:rPr>
          <w:noProof/>
        </w:rPr>
        <w:t>на</w:t>
      </w:r>
      <w:r w:rsidR="00380210" w:rsidRPr="00C44DA1">
        <w:rPr>
          <w:noProof/>
        </w:rPr>
        <w:t xml:space="preserve"> правосъдието – </w:t>
      </w:r>
      <w:r w:rsidR="00A57135" w:rsidRPr="00C44DA1">
        <w:rPr>
          <w:noProof/>
        </w:rPr>
        <w:t>4,5</w:t>
      </w:r>
      <w:r w:rsidR="00380210" w:rsidRPr="00C44DA1">
        <w:rPr>
          <w:noProof/>
        </w:rPr>
        <w:t xml:space="preserve"> млн. лв. (увеличение с </w:t>
      </w:r>
      <w:r w:rsidR="00A57135" w:rsidRPr="00C44DA1">
        <w:rPr>
          <w:noProof/>
        </w:rPr>
        <w:t>3,6</w:t>
      </w:r>
      <w:r w:rsidR="00380210" w:rsidRPr="00C44DA1">
        <w:rPr>
          <w:noProof/>
        </w:rPr>
        <w:t xml:space="preserve"> млн. лв. </w:t>
      </w:r>
      <w:r w:rsidR="00380210" w:rsidRPr="00C44DA1">
        <w:t>спрямо просрочията в края на 2022 г.</w:t>
      </w:r>
      <w:r w:rsidR="00380210" w:rsidRPr="00C44DA1">
        <w:rPr>
          <w:noProof/>
        </w:rPr>
        <w:t xml:space="preserve">); </w:t>
      </w:r>
      <w:r w:rsidR="00F001EC" w:rsidRPr="00B92EF5">
        <w:rPr>
          <w:noProof/>
        </w:rPr>
        <w:t>Министерство</w:t>
      </w:r>
      <w:r w:rsidR="008362B6">
        <w:rPr>
          <w:noProof/>
        </w:rPr>
        <w:t>то</w:t>
      </w:r>
      <w:r w:rsidR="00F001EC" w:rsidRPr="00B92EF5">
        <w:rPr>
          <w:noProof/>
        </w:rPr>
        <w:t xml:space="preserve"> на отбраната – </w:t>
      </w:r>
      <w:r w:rsidR="004C1F3B" w:rsidRPr="00B92EF5">
        <w:rPr>
          <w:noProof/>
        </w:rPr>
        <w:t>2,</w:t>
      </w:r>
      <w:r w:rsidR="00C44DA1" w:rsidRPr="00B92EF5">
        <w:rPr>
          <w:noProof/>
        </w:rPr>
        <w:t>9</w:t>
      </w:r>
      <w:r w:rsidR="00F001EC" w:rsidRPr="00B92EF5">
        <w:rPr>
          <w:noProof/>
        </w:rPr>
        <w:t xml:space="preserve"> млн. лв. (</w:t>
      </w:r>
      <w:r w:rsidR="00C44DA1" w:rsidRPr="00B92EF5">
        <w:rPr>
          <w:noProof/>
        </w:rPr>
        <w:t>увеличение</w:t>
      </w:r>
      <w:r w:rsidR="00F001EC" w:rsidRPr="00B92EF5">
        <w:rPr>
          <w:noProof/>
        </w:rPr>
        <w:t xml:space="preserve"> с </w:t>
      </w:r>
      <w:r w:rsidR="00380210" w:rsidRPr="00B92EF5">
        <w:rPr>
          <w:noProof/>
        </w:rPr>
        <w:t>0</w:t>
      </w:r>
      <w:r w:rsidR="004C1F3B" w:rsidRPr="00B92EF5">
        <w:rPr>
          <w:noProof/>
        </w:rPr>
        <w:t>,</w:t>
      </w:r>
      <w:r w:rsidR="00C44DA1" w:rsidRPr="00B92EF5">
        <w:rPr>
          <w:noProof/>
        </w:rPr>
        <w:t>3</w:t>
      </w:r>
      <w:r w:rsidR="00F001EC" w:rsidRPr="00B92EF5">
        <w:rPr>
          <w:noProof/>
        </w:rPr>
        <w:t xml:space="preserve"> млн. лв. спрямо </w:t>
      </w:r>
      <w:r w:rsidR="00F001EC" w:rsidRPr="00B92EF5">
        <w:t>отчетените в края на 202</w:t>
      </w:r>
      <w:r w:rsidR="00517CD0" w:rsidRPr="00B92EF5">
        <w:t>2</w:t>
      </w:r>
      <w:r w:rsidR="00F001EC" w:rsidRPr="00B92EF5">
        <w:t xml:space="preserve"> г.</w:t>
      </w:r>
      <w:r w:rsidR="00F001EC" w:rsidRPr="00B92EF5">
        <w:rPr>
          <w:noProof/>
        </w:rPr>
        <w:t xml:space="preserve">), в т.ч. </w:t>
      </w:r>
      <w:r w:rsidR="00FA7D36" w:rsidRPr="00B92EF5">
        <w:rPr>
          <w:noProof/>
        </w:rPr>
        <w:t>2,</w:t>
      </w:r>
      <w:r w:rsidR="00194AF7" w:rsidRPr="00B92EF5">
        <w:rPr>
          <w:noProof/>
        </w:rPr>
        <w:t>8</w:t>
      </w:r>
      <w:r w:rsidR="00F001EC" w:rsidRPr="00B92EF5">
        <w:rPr>
          <w:noProof/>
        </w:rPr>
        <w:t xml:space="preserve"> млн. лв. на ВМА</w:t>
      </w:r>
      <w:r w:rsidR="00BD4A9D" w:rsidRPr="00B92EF5">
        <w:t>;</w:t>
      </w:r>
      <w:r w:rsidR="00F001EC" w:rsidRPr="00B92EF5">
        <w:rPr>
          <w:noProof/>
        </w:rPr>
        <w:t xml:space="preserve"> </w:t>
      </w:r>
      <w:r w:rsidR="00772D55" w:rsidRPr="00B92EF5">
        <w:rPr>
          <w:noProof/>
        </w:rPr>
        <w:t>Министерство</w:t>
      </w:r>
      <w:r w:rsidR="008362B6">
        <w:rPr>
          <w:noProof/>
        </w:rPr>
        <w:t>то</w:t>
      </w:r>
      <w:r w:rsidR="00772D55" w:rsidRPr="00B92EF5">
        <w:rPr>
          <w:noProof/>
        </w:rPr>
        <w:t xml:space="preserve"> на </w:t>
      </w:r>
      <w:r w:rsidR="00B92EF5" w:rsidRPr="00B92EF5">
        <w:rPr>
          <w:noProof/>
        </w:rPr>
        <w:t xml:space="preserve">младежта и спорта </w:t>
      </w:r>
      <w:r w:rsidR="00772D55" w:rsidRPr="00B92EF5">
        <w:rPr>
          <w:noProof/>
        </w:rPr>
        <w:t xml:space="preserve">– </w:t>
      </w:r>
      <w:r w:rsidR="00B92EF5" w:rsidRPr="00B92EF5">
        <w:rPr>
          <w:noProof/>
        </w:rPr>
        <w:t>2,4</w:t>
      </w:r>
      <w:r w:rsidR="00772D55" w:rsidRPr="00B92EF5">
        <w:rPr>
          <w:noProof/>
        </w:rPr>
        <w:t xml:space="preserve"> млн. лв. </w:t>
      </w:r>
      <w:r w:rsidR="00772D55" w:rsidRPr="00582103">
        <w:rPr>
          <w:noProof/>
        </w:rPr>
        <w:t xml:space="preserve">(увеличение с </w:t>
      </w:r>
      <w:r w:rsidR="00380210" w:rsidRPr="00582103">
        <w:rPr>
          <w:noProof/>
        </w:rPr>
        <w:t>1</w:t>
      </w:r>
      <w:r w:rsidR="00772D55" w:rsidRPr="00582103">
        <w:rPr>
          <w:noProof/>
        </w:rPr>
        <w:t>,</w:t>
      </w:r>
      <w:r w:rsidR="00B92EF5" w:rsidRPr="00582103">
        <w:rPr>
          <w:noProof/>
        </w:rPr>
        <w:t>7</w:t>
      </w:r>
      <w:r w:rsidR="00772D55" w:rsidRPr="00582103">
        <w:rPr>
          <w:noProof/>
        </w:rPr>
        <w:t xml:space="preserve"> млн. лв. спрямо </w:t>
      </w:r>
      <w:r w:rsidR="00772D55" w:rsidRPr="00582103">
        <w:t>отчетените в края на 202</w:t>
      </w:r>
      <w:r w:rsidR="00517CD0" w:rsidRPr="00582103">
        <w:t>2</w:t>
      </w:r>
      <w:r w:rsidR="00C1715B" w:rsidRPr="00582103">
        <w:rPr>
          <w:lang w:val="en-US"/>
        </w:rPr>
        <w:t> </w:t>
      </w:r>
      <w:r w:rsidR="00772D55" w:rsidRPr="00582103">
        <w:t>г</w:t>
      </w:r>
      <w:r w:rsidR="00380210" w:rsidRPr="00582103">
        <w:t>.</w:t>
      </w:r>
      <w:r w:rsidR="003A7911" w:rsidRPr="00582103">
        <w:rPr>
          <w:lang w:val="ru-RU"/>
        </w:rPr>
        <w:t>)</w:t>
      </w:r>
      <w:r w:rsidR="00380210" w:rsidRPr="00582103">
        <w:t xml:space="preserve"> </w:t>
      </w:r>
      <w:r w:rsidR="00772D55" w:rsidRPr="00582103">
        <w:rPr>
          <w:noProof/>
        </w:rPr>
        <w:t xml:space="preserve">и други. </w:t>
      </w:r>
      <w:r w:rsidRPr="00582103">
        <w:rPr>
          <w:noProof/>
        </w:rPr>
        <w:t xml:space="preserve">От разпоредителите с бюджет по чл. 13, ал. 3 на Закона за публичните финанси проблеми с наличието на просрочени задължения има основно при </w:t>
      </w:r>
      <w:r w:rsidR="00380210" w:rsidRPr="00582103">
        <w:rPr>
          <w:noProof/>
        </w:rPr>
        <w:t xml:space="preserve">държавните висши училища – </w:t>
      </w:r>
      <w:r w:rsidR="00582103" w:rsidRPr="00582103">
        <w:rPr>
          <w:noProof/>
        </w:rPr>
        <w:t>6,8</w:t>
      </w:r>
      <w:r w:rsidR="00D9744D" w:rsidRPr="00582103">
        <w:rPr>
          <w:noProof/>
        </w:rPr>
        <w:t xml:space="preserve"> млн. лв. (</w:t>
      </w:r>
      <w:r w:rsidR="00582103" w:rsidRPr="00582103">
        <w:rPr>
          <w:noProof/>
        </w:rPr>
        <w:t>намаление</w:t>
      </w:r>
      <w:r w:rsidR="00D9744D" w:rsidRPr="00582103">
        <w:rPr>
          <w:noProof/>
        </w:rPr>
        <w:t xml:space="preserve"> с </w:t>
      </w:r>
      <w:r w:rsidR="00380210" w:rsidRPr="00582103">
        <w:rPr>
          <w:noProof/>
        </w:rPr>
        <w:t>0</w:t>
      </w:r>
      <w:r w:rsidR="00D9744D" w:rsidRPr="00582103">
        <w:rPr>
          <w:noProof/>
        </w:rPr>
        <w:t>,</w:t>
      </w:r>
      <w:r w:rsidR="00582103" w:rsidRPr="00582103">
        <w:rPr>
          <w:noProof/>
        </w:rPr>
        <w:t>4</w:t>
      </w:r>
      <w:r w:rsidR="00D9744D" w:rsidRPr="00582103">
        <w:rPr>
          <w:noProof/>
        </w:rPr>
        <w:t xml:space="preserve"> млн. лв. </w:t>
      </w:r>
      <w:r w:rsidR="00D9744D" w:rsidRPr="00582103">
        <w:t>спрямо отчетените в края на 202</w:t>
      </w:r>
      <w:r w:rsidR="00AE11ED" w:rsidRPr="00582103">
        <w:t>2</w:t>
      </w:r>
      <w:r w:rsidR="00D9744D" w:rsidRPr="00582103">
        <w:t> г. и включват задължения за внасяне на данъци, вноски, такси и административни санкции, задължения към доставчици и др.</w:t>
      </w:r>
      <w:r w:rsidR="00D9744D" w:rsidRPr="00582103">
        <w:rPr>
          <w:noProof/>
        </w:rPr>
        <w:t xml:space="preserve">), </w:t>
      </w:r>
      <w:r w:rsidRPr="00582103">
        <w:rPr>
          <w:noProof/>
        </w:rPr>
        <w:t xml:space="preserve">Българската национална телевизия – </w:t>
      </w:r>
      <w:r w:rsidR="00582103" w:rsidRPr="00582103">
        <w:rPr>
          <w:noProof/>
        </w:rPr>
        <w:t>6,9</w:t>
      </w:r>
      <w:r w:rsidRPr="00582103">
        <w:rPr>
          <w:noProof/>
        </w:rPr>
        <w:t xml:space="preserve"> млн. </w:t>
      </w:r>
      <w:r w:rsidRPr="00F47DD5">
        <w:rPr>
          <w:noProof/>
        </w:rPr>
        <w:t>лв. (</w:t>
      </w:r>
      <w:r w:rsidR="00582103" w:rsidRPr="00F47DD5">
        <w:rPr>
          <w:noProof/>
        </w:rPr>
        <w:t xml:space="preserve">намаление </w:t>
      </w:r>
      <w:r w:rsidR="002A2161" w:rsidRPr="00F47DD5">
        <w:rPr>
          <w:noProof/>
        </w:rPr>
        <w:t>с 0</w:t>
      </w:r>
      <w:r w:rsidR="00AA5D97" w:rsidRPr="00F47DD5">
        <w:rPr>
          <w:noProof/>
        </w:rPr>
        <w:t>,</w:t>
      </w:r>
      <w:r w:rsidR="00582103" w:rsidRPr="00F47DD5">
        <w:rPr>
          <w:noProof/>
        </w:rPr>
        <w:t>4</w:t>
      </w:r>
      <w:r w:rsidRPr="00F47DD5">
        <w:rPr>
          <w:noProof/>
        </w:rPr>
        <w:t xml:space="preserve"> млн. лв. </w:t>
      </w:r>
      <w:r w:rsidRPr="00F47DD5">
        <w:t>спрямо отчетените в края на 202</w:t>
      </w:r>
      <w:r w:rsidR="00AE11ED" w:rsidRPr="00F47DD5">
        <w:t>2</w:t>
      </w:r>
      <w:r w:rsidRPr="00F47DD5">
        <w:t xml:space="preserve"> г.</w:t>
      </w:r>
      <w:r w:rsidRPr="00F47DD5">
        <w:rPr>
          <w:noProof/>
        </w:rPr>
        <w:t xml:space="preserve">, като това са основно </w:t>
      </w:r>
      <w:r w:rsidRPr="00AE24A2">
        <w:t>просрочени задължения към доставчици в страната)</w:t>
      </w:r>
      <w:r w:rsidR="00A80BD2" w:rsidRPr="00AE24A2">
        <w:t xml:space="preserve"> и </w:t>
      </w:r>
      <w:r w:rsidRPr="00AE24A2">
        <w:rPr>
          <w:noProof/>
        </w:rPr>
        <w:t>Българското национало радио – 2,</w:t>
      </w:r>
      <w:r w:rsidR="00AE24A2" w:rsidRPr="00AE24A2">
        <w:rPr>
          <w:noProof/>
        </w:rPr>
        <w:t>6</w:t>
      </w:r>
      <w:r w:rsidRPr="00AE24A2">
        <w:rPr>
          <w:noProof/>
        </w:rPr>
        <w:t xml:space="preserve"> млн. лв. (</w:t>
      </w:r>
      <w:r w:rsidR="002A2161" w:rsidRPr="00AE24A2">
        <w:rPr>
          <w:noProof/>
        </w:rPr>
        <w:t xml:space="preserve">с минимално </w:t>
      </w:r>
      <w:r w:rsidRPr="00AE24A2">
        <w:rPr>
          <w:noProof/>
        </w:rPr>
        <w:t xml:space="preserve">увеличение </w:t>
      </w:r>
      <w:r w:rsidRPr="00AE24A2">
        <w:t>спрям</w:t>
      </w:r>
      <w:r w:rsidR="00D9744D" w:rsidRPr="00AE24A2">
        <w:t>о отчетените в края на 202</w:t>
      </w:r>
      <w:r w:rsidR="00AE11ED" w:rsidRPr="00AE24A2">
        <w:t>2</w:t>
      </w:r>
      <w:r w:rsidR="00D9744D" w:rsidRPr="00AE24A2">
        <w:t xml:space="preserve"> г.</w:t>
      </w:r>
      <w:r w:rsidR="00505568">
        <w:t>, като това са</w:t>
      </w:r>
      <w:r w:rsidR="008F29DC">
        <w:t xml:space="preserve"> </w:t>
      </w:r>
      <w:r w:rsidR="008F29DC" w:rsidRPr="0068510C">
        <w:t>основно</w:t>
      </w:r>
      <w:r w:rsidR="00505568" w:rsidRPr="0068510C">
        <w:t xml:space="preserve"> </w:t>
      </w:r>
      <w:r w:rsidR="00505568" w:rsidRPr="0068510C">
        <w:rPr>
          <w:szCs w:val="20"/>
        </w:rPr>
        <w:t xml:space="preserve">просрочени задължения за данъци, вноски, такси и административни санкции към Столична община за такса битови отпадъци за минали периоди, в т.ч. </w:t>
      </w:r>
      <w:r w:rsidR="00505568" w:rsidRPr="00B019A1">
        <w:rPr>
          <w:szCs w:val="20"/>
          <w:lang w:val="ru-RU"/>
        </w:rPr>
        <w:t>1</w:t>
      </w:r>
      <w:r w:rsidR="00505568" w:rsidRPr="0068510C">
        <w:rPr>
          <w:szCs w:val="20"/>
        </w:rPr>
        <w:t>,1 млн. лв. за лихви</w:t>
      </w:r>
      <w:r w:rsidR="00D9744D" w:rsidRPr="0068510C">
        <w:t>)</w:t>
      </w:r>
      <w:r w:rsidRPr="0068510C">
        <w:rPr>
          <w:noProof/>
        </w:rPr>
        <w:t>.</w:t>
      </w:r>
      <w:r w:rsidR="00D822E5" w:rsidRPr="0068510C">
        <w:rPr>
          <w:noProof/>
        </w:rPr>
        <w:t xml:space="preserve"> От разпоредителите с бюджет по чл. 13, ал. 4 на Закона за публичните финанси проблеми с наличието на просрочени задължения има при Държавно предприятие „На</w:t>
      </w:r>
      <w:r w:rsidR="002A2161" w:rsidRPr="0068510C">
        <w:rPr>
          <w:noProof/>
        </w:rPr>
        <w:t>учно-производствен център“ – 1,8</w:t>
      </w:r>
      <w:r w:rsidR="00D822E5" w:rsidRPr="0068510C">
        <w:rPr>
          <w:noProof/>
        </w:rPr>
        <w:t xml:space="preserve"> млн. лв. (увеличение с 0,</w:t>
      </w:r>
      <w:r w:rsidR="0068510C" w:rsidRPr="0068510C">
        <w:rPr>
          <w:noProof/>
        </w:rPr>
        <w:t>2</w:t>
      </w:r>
      <w:r w:rsidR="00D822E5" w:rsidRPr="0068510C">
        <w:rPr>
          <w:noProof/>
        </w:rPr>
        <w:t xml:space="preserve"> млн. лв. </w:t>
      </w:r>
      <w:r w:rsidR="00D822E5" w:rsidRPr="0068510C">
        <w:t>спрямо отчетените в края на 202</w:t>
      </w:r>
      <w:r w:rsidR="00AE11ED" w:rsidRPr="0068510C">
        <w:t>2</w:t>
      </w:r>
      <w:r w:rsidR="00D822E5" w:rsidRPr="0068510C">
        <w:t xml:space="preserve"> г.</w:t>
      </w:r>
      <w:r w:rsidR="006412EB" w:rsidRPr="0068510C">
        <w:rPr>
          <w:lang w:val="ru-RU"/>
        </w:rPr>
        <w:t>)</w:t>
      </w:r>
      <w:r w:rsidR="006412EB" w:rsidRPr="0068510C">
        <w:t>.</w:t>
      </w:r>
    </w:p>
    <w:p w14:paraId="73564FEA" w14:textId="77777777" w:rsidR="00EB3EAF" w:rsidRPr="0055349C" w:rsidRDefault="00EB3EAF" w:rsidP="00EB3EAF">
      <w:pPr>
        <w:ind w:firstLine="567"/>
        <w:jc w:val="both"/>
        <w:rPr>
          <w:bCs/>
          <w:color w:val="0070C0"/>
          <w:sz w:val="6"/>
          <w:szCs w:val="12"/>
          <w:lang w:val="ru-RU"/>
        </w:rPr>
      </w:pPr>
    </w:p>
    <w:p w14:paraId="5144B7EC" w14:textId="136B5CE8" w:rsidR="00EB3EAF" w:rsidRPr="0055349C" w:rsidRDefault="00EB3EAF" w:rsidP="00EB3EAF">
      <w:pPr>
        <w:spacing w:after="120"/>
        <w:jc w:val="both"/>
        <w:rPr>
          <w:noProof/>
          <w:color w:val="0070C0"/>
        </w:rPr>
      </w:pPr>
      <w:r w:rsidRPr="00D571A7">
        <w:rPr>
          <w:noProof/>
        </w:rPr>
        <w:t xml:space="preserve">Просрочените задължения по </w:t>
      </w:r>
      <w:r w:rsidRPr="00D571A7">
        <w:rPr>
          <w:b/>
          <w:noProof/>
        </w:rPr>
        <w:t>бюджетите на общините</w:t>
      </w:r>
      <w:r w:rsidRPr="00D571A7">
        <w:rPr>
          <w:noProof/>
        </w:rPr>
        <w:t xml:space="preserve"> към </w:t>
      </w:r>
      <w:r w:rsidR="00D571A7" w:rsidRPr="00D571A7">
        <w:rPr>
          <w:noProof/>
        </w:rPr>
        <w:t>30</w:t>
      </w:r>
      <w:r w:rsidRPr="00D571A7">
        <w:rPr>
          <w:noProof/>
        </w:rPr>
        <w:t>.</w:t>
      </w:r>
      <w:r w:rsidR="00D571A7" w:rsidRPr="00D571A7">
        <w:rPr>
          <w:noProof/>
        </w:rPr>
        <w:t>06</w:t>
      </w:r>
      <w:r w:rsidRPr="00D571A7">
        <w:rPr>
          <w:noProof/>
        </w:rPr>
        <w:t>.202</w:t>
      </w:r>
      <w:r w:rsidR="002A2161" w:rsidRPr="00D571A7">
        <w:rPr>
          <w:noProof/>
        </w:rPr>
        <w:t>3</w:t>
      </w:r>
      <w:r w:rsidRPr="00D571A7">
        <w:rPr>
          <w:noProof/>
        </w:rPr>
        <w:t xml:space="preserve"> г. са в размер на </w:t>
      </w:r>
      <w:r w:rsidR="00D571A7" w:rsidRPr="00D571A7">
        <w:rPr>
          <w:b/>
          <w:noProof/>
        </w:rPr>
        <w:t>89,2</w:t>
      </w:r>
      <w:r w:rsidRPr="00D571A7">
        <w:rPr>
          <w:b/>
          <w:noProof/>
        </w:rPr>
        <w:t> млн. лв</w:t>
      </w:r>
      <w:r w:rsidRPr="00152672">
        <w:rPr>
          <w:b/>
          <w:noProof/>
        </w:rPr>
        <w:t>.,</w:t>
      </w:r>
      <w:r w:rsidRPr="00152672">
        <w:rPr>
          <w:noProof/>
        </w:rPr>
        <w:t xml:space="preserve"> като спрямо </w:t>
      </w:r>
      <w:r w:rsidRPr="00152672">
        <w:t>края на 202</w:t>
      </w:r>
      <w:r w:rsidR="00620751" w:rsidRPr="00152672">
        <w:t>2</w:t>
      </w:r>
      <w:r w:rsidRPr="00152672">
        <w:t xml:space="preserve"> г. </w:t>
      </w:r>
      <w:r w:rsidRPr="00152672">
        <w:rPr>
          <w:noProof/>
        </w:rPr>
        <w:t xml:space="preserve">се отчита </w:t>
      </w:r>
      <w:r w:rsidR="00005A85" w:rsidRPr="00152672">
        <w:rPr>
          <w:noProof/>
        </w:rPr>
        <w:t>намаление</w:t>
      </w:r>
      <w:r w:rsidRPr="00152672">
        <w:rPr>
          <w:noProof/>
        </w:rPr>
        <w:t xml:space="preserve"> с </w:t>
      </w:r>
      <w:r w:rsidR="00D571A7" w:rsidRPr="00152672">
        <w:rPr>
          <w:noProof/>
        </w:rPr>
        <w:t>1,8</w:t>
      </w:r>
      <w:r w:rsidRPr="00152672">
        <w:rPr>
          <w:noProof/>
        </w:rPr>
        <w:t xml:space="preserve"> млн. лева. С най-голям относителен дял в просрочените задължения по бюджетите на общините към края на месец </w:t>
      </w:r>
      <w:r w:rsidR="00D571A7" w:rsidRPr="00152672">
        <w:rPr>
          <w:noProof/>
        </w:rPr>
        <w:t xml:space="preserve">юни </w:t>
      </w:r>
      <w:r w:rsidRPr="00152672">
        <w:rPr>
          <w:noProof/>
        </w:rPr>
        <w:t>202</w:t>
      </w:r>
      <w:r w:rsidR="002A2161" w:rsidRPr="00152672">
        <w:rPr>
          <w:noProof/>
        </w:rPr>
        <w:t>3</w:t>
      </w:r>
      <w:r w:rsidRPr="00152672">
        <w:rPr>
          <w:noProof/>
        </w:rPr>
        <w:t xml:space="preserve"> г. са просрочените задължения към доставчици, които са в размер на </w:t>
      </w:r>
      <w:r w:rsidR="00152672" w:rsidRPr="00152672">
        <w:rPr>
          <w:noProof/>
        </w:rPr>
        <w:t>68,5</w:t>
      </w:r>
      <w:r w:rsidRPr="00152672">
        <w:rPr>
          <w:noProof/>
        </w:rPr>
        <w:t xml:space="preserve"> млн. лева. В делегираните от държавата дейности просрочените задължения са в размер на </w:t>
      </w:r>
      <w:r w:rsidR="00152672" w:rsidRPr="00152672">
        <w:rPr>
          <w:noProof/>
        </w:rPr>
        <w:t>0,</w:t>
      </w:r>
      <w:r w:rsidR="00277E99">
        <w:rPr>
          <w:noProof/>
        </w:rPr>
        <w:t>9</w:t>
      </w:r>
      <w:r w:rsidRPr="00152672">
        <w:rPr>
          <w:noProof/>
        </w:rPr>
        <w:t xml:space="preserve"> млн. лева.</w:t>
      </w:r>
    </w:p>
    <w:p w14:paraId="0B52FCCB" w14:textId="5850F34E" w:rsidR="00C45F7B" w:rsidRPr="0055349C" w:rsidRDefault="00C45F7B" w:rsidP="00C45F7B">
      <w:pPr>
        <w:spacing w:after="120"/>
        <w:jc w:val="both"/>
        <w:rPr>
          <w:color w:val="0070C0"/>
          <w:lang w:val="en-US"/>
        </w:rPr>
      </w:pPr>
      <w:r w:rsidRPr="001B72FB">
        <w:rPr>
          <w:noProof/>
        </w:rPr>
        <w:t xml:space="preserve">Извън обхвата на консолидираната фискална програма, продължава да има проблем с просрочията на лечебните заведения за болнична помощ (държавни и общински болници – </w:t>
      </w:r>
      <w:r w:rsidRPr="00063248">
        <w:rPr>
          <w:noProof/>
        </w:rPr>
        <w:t xml:space="preserve">търговски дружества). </w:t>
      </w:r>
      <w:r w:rsidR="00063248" w:rsidRPr="00063248">
        <w:rPr>
          <w:noProof/>
        </w:rPr>
        <w:t xml:space="preserve">Към 30.06.2023 г. размерът на просрочените задължения е </w:t>
      </w:r>
      <w:r w:rsidR="00063248" w:rsidRPr="00063248">
        <w:rPr>
          <w:noProof/>
          <w:lang w:val="en-US"/>
        </w:rPr>
        <w:t>77,0</w:t>
      </w:r>
      <w:r w:rsidR="00063248" w:rsidRPr="00063248">
        <w:rPr>
          <w:noProof/>
        </w:rPr>
        <w:t xml:space="preserve"> млн. лв., от които </w:t>
      </w:r>
      <w:r w:rsidR="00063248" w:rsidRPr="00063248">
        <w:rPr>
          <w:noProof/>
          <w:lang w:val="en-US"/>
        </w:rPr>
        <w:t xml:space="preserve">60,0 </w:t>
      </w:r>
      <w:r w:rsidR="00063248" w:rsidRPr="00063248">
        <w:rPr>
          <w:noProof/>
        </w:rPr>
        <w:t xml:space="preserve">млн. лв. са на държавните болници и </w:t>
      </w:r>
      <w:r w:rsidR="00063248" w:rsidRPr="00063248">
        <w:rPr>
          <w:noProof/>
          <w:lang w:val="en-US"/>
        </w:rPr>
        <w:t xml:space="preserve">17,0 </w:t>
      </w:r>
      <w:r w:rsidR="00063248" w:rsidRPr="00063248">
        <w:rPr>
          <w:noProof/>
        </w:rPr>
        <w:t xml:space="preserve">млн. лв. са на общинските болници. Спрямо отчетените просрочени задължения към 31.12.2022 г. се отчита намаление с </w:t>
      </w:r>
      <w:r w:rsidR="00063248" w:rsidRPr="00063248">
        <w:rPr>
          <w:noProof/>
          <w:lang w:val="en-US"/>
        </w:rPr>
        <w:t>17,8</w:t>
      </w:r>
      <w:r w:rsidR="00063248" w:rsidRPr="00063248">
        <w:rPr>
          <w:noProof/>
        </w:rPr>
        <w:t xml:space="preserve"> млн. лв</w:t>
      </w:r>
      <w:bookmarkStart w:id="38" w:name="_GoBack"/>
      <w:bookmarkEnd w:id="38"/>
      <w:r w:rsidR="00063248" w:rsidRPr="00BE040E">
        <w:rPr>
          <w:noProof/>
        </w:rPr>
        <w:t xml:space="preserve">. (с </w:t>
      </w:r>
      <w:r w:rsidR="00063248" w:rsidRPr="00BE040E">
        <w:rPr>
          <w:noProof/>
          <w:lang w:val="en-US"/>
        </w:rPr>
        <w:t>18,8</w:t>
      </w:r>
      <w:r w:rsidR="00063248" w:rsidRPr="00BE040E">
        <w:rPr>
          <w:noProof/>
        </w:rPr>
        <w:t xml:space="preserve"> на сто)</w:t>
      </w:r>
      <w:r w:rsidRPr="00BE040E">
        <w:t>.</w:t>
      </w:r>
    </w:p>
    <w:p w14:paraId="1A6C9079" w14:textId="77777777" w:rsidR="00BB059C" w:rsidRPr="0055349C" w:rsidRDefault="00BB059C" w:rsidP="00BB059C">
      <w:pPr>
        <w:ind w:firstLine="567"/>
        <w:jc w:val="both"/>
        <w:rPr>
          <w:noProof/>
          <w:color w:val="0070C0"/>
          <w:sz w:val="2"/>
          <w:szCs w:val="12"/>
          <w:lang w:val="en-US"/>
        </w:rPr>
      </w:pPr>
    </w:p>
    <w:p w14:paraId="51EF3DB5" w14:textId="77777777" w:rsidR="009C2594" w:rsidRPr="00491DE1" w:rsidRDefault="009C2594" w:rsidP="00ED2B9A">
      <w:pPr>
        <w:pStyle w:val="BodyTextIndent"/>
        <w:numPr>
          <w:ilvl w:val="1"/>
          <w:numId w:val="12"/>
        </w:numPr>
        <w:tabs>
          <w:tab w:val="clear" w:pos="2160"/>
          <w:tab w:val="num" w:pos="720"/>
          <w:tab w:val="num" w:pos="900"/>
        </w:tabs>
        <w:spacing w:before="120" w:after="0"/>
        <w:ind w:left="720"/>
        <w:jc w:val="both"/>
        <w:rPr>
          <w:b/>
          <w:bCs/>
        </w:rPr>
      </w:pPr>
      <w:r w:rsidRPr="00491DE1">
        <w:rPr>
          <w:b/>
          <w:bCs/>
        </w:rPr>
        <w:t xml:space="preserve">Разходи по </w:t>
      </w:r>
      <w:r w:rsidR="00850FB1" w:rsidRPr="00491DE1">
        <w:rPr>
          <w:b/>
          <w:bCs/>
        </w:rPr>
        <w:t>централн</w:t>
      </w:r>
      <w:r w:rsidRPr="00491DE1">
        <w:rPr>
          <w:b/>
          <w:bCs/>
          <w:szCs w:val="26"/>
        </w:rPr>
        <w:t xml:space="preserve">ия бюджет </w:t>
      </w:r>
      <w:r w:rsidRPr="00491DE1">
        <w:rPr>
          <w:b/>
          <w:bCs/>
        </w:rPr>
        <w:t>за субсидии</w:t>
      </w:r>
      <w:r w:rsidR="00F202DD" w:rsidRPr="00491DE1">
        <w:rPr>
          <w:b/>
          <w:bCs/>
        </w:rPr>
        <w:t>,</w:t>
      </w:r>
      <w:r w:rsidR="0091667E" w:rsidRPr="00491DE1">
        <w:rPr>
          <w:b/>
          <w:bCs/>
        </w:rPr>
        <w:t xml:space="preserve"> </w:t>
      </w:r>
      <w:r w:rsidR="00F202DD" w:rsidRPr="00491DE1">
        <w:rPr>
          <w:b/>
          <w:bCs/>
        </w:rPr>
        <w:t xml:space="preserve">капиталови </w:t>
      </w:r>
      <w:r w:rsidR="00AF1CA0" w:rsidRPr="00491DE1">
        <w:rPr>
          <w:b/>
          <w:bCs/>
        </w:rPr>
        <w:t>трансфери</w:t>
      </w:r>
      <w:r w:rsidR="00AF1CA0" w:rsidRPr="00491DE1">
        <w:rPr>
          <w:bCs/>
        </w:rPr>
        <w:t xml:space="preserve"> </w:t>
      </w:r>
      <w:r w:rsidRPr="00491DE1">
        <w:rPr>
          <w:b/>
          <w:bCs/>
        </w:rPr>
        <w:t xml:space="preserve">и други разходи, свързани с дейността на реалния сектор </w:t>
      </w:r>
    </w:p>
    <w:p w14:paraId="621F3B18" w14:textId="77777777" w:rsidR="009C2594" w:rsidRPr="0055349C" w:rsidRDefault="009C2594" w:rsidP="009C2594">
      <w:pPr>
        <w:pStyle w:val="Header"/>
        <w:jc w:val="both"/>
        <w:rPr>
          <w:color w:val="0070C0"/>
          <w:sz w:val="8"/>
          <w:szCs w:val="8"/>
        </w:rPr>
      </w:pPr>
    </w:p>
    <w:p w14:paraId="002A3078" w14:textId="77777777" w:rsidR="00411FD7" w:rsidRPr="0055349C" w:rsidRDefault="00411FD7" w:rsidP="00411FD7">
      <w:pPr>
        <w:pStyle w:val="Header"/>
        <w:ind w:firstLine="567"/>
        <w:jc w:val="both"/>
        <w:rPr>
          <w:color w:val="0070C0"/>
          <w:sz w:val="4"/>
          <w:szCs w:val="4"/>
        </w:rPr>
      </w:pPr>
    </w:p>
    <w:p w14:paraId="6D921ADF" w14:textId="5F0E7A77" w:rsidR="00411FD7" w:rsidRPr="00491DE1" w:rsidRDefault="00411FD7" w:rsidP="00411FD7">
      <w:pPr>
        <w:pStyle w:val="BodyText2"/>
        <w:spacing w:after="0" w:line="240" w:lineRule="auto"/>
        <w:ind w:firstLine="567"/>
        <w:jc w:val="both"/>
      </w:pPr>
      <w:r w:rsidRPr="00491DE1">
        <w:t xml:space="preserve">Средствата за </w:t>
      </w:r>
      <w:r w:rsidRPr="00491DE1">
        <w:rPr>
          <w:bCs/>
        </w:rPr>
        <w:t>субсидии</w:t>
      </w:r>
      <w:r w:rsidRPr="00491DE1">
        <w:t xml:space="preserve"> са предназначени за търговски дружества, осъществяващи превоза на пътниците по нерентабилни автобусни линии във вътрешноградския транспорт и транспо</w:t>
      </w:r>
      <w:r w:rsidR="00FF50D5" w:rsidRPr="00491DE1">
        <w:t>рта в планински и други райони</w:t>
      </w:r>
      <w:r w:rsidRPr="00491DE1">
        <w:t>.</w:t>
      </w:r>
      <w:r w:rsidR="00FF50D5" w:rsidRPr="00491DE1">
        <w:t xml:space="preserve"> По своя характер те са обществени превозни услуги от общ икономически интерес и имат предимно социална насоченост – масови превози до и от работните места в рамките на града и превози до малки отдалечени селища, осигуряващи връзка с общинския център.</w:t>
      </w:r>
    </w:p>
    <w:p w14:paraId="20B4E9D5" w14:textId="01FF1E79" w:rsidR="00FF50D5" w:rsidRPr="00491DE1" w:rsidRDefault="00FF50D5" w:rsidP="00FF50D5">
      <w:pPr>
        <w:pStyle w:val="BodyTextIndent2"/>
        <w:spacing w:after="0" w:line="240" w:lineRule="auto"/>
        <w:ind w:left="0" w:firstLine="567"/>
        <w:jc w:val="both"/>
      </w:pPr>
      <w:r w:rsidRPr="00491DE1">
        <w:t xml:space="preserve">През първото </w:t>
      </w:r>
      <w:r w:rsidR="00491DE1" w:rsidRPr="00491DE1">
        <w:t>полугодие</w:t>
      </w:r>
      <w:r w:rsidRPr="00491DE1">
        <w:t xml:space="preserve"> на 2023 г. предоставените за тази цел средства са в размер на </w:t>
      </w:r>
      <w:r w:rsidR="00491DE1" w:rsidRPr="00491DE1">
        <w:t>7</w:t>
      </w:r>
      <w:r w:rsidRPr="00491DE1">
        <w:t>9,</w:t>
      </w:r>
      <w:r w:rsidR="00491DE1" w:rsidRPr="00491DE1">
        <w:t>0</w:t>
      </w:r>
      <w:r w:rsidRPr="00491DE1">
        <w:t xml:space="preserve"> млн. лв., в т.ч. за Столична община - в размер на </w:t>
      </w:r>
      <w:r w:rsidR="00491DE1" w:rsidRPr="00491DE1">
        <w:t>44</w:t>
      </w:r>
      <w:r w:rsidRPr="00491DE1">
        <w:t>,</w:t>
      </w:r>
      <w:r w:rsidR="00491DE1" w:rsidRPr="00491DE1">
        <w:t>5</w:t>
      </w:r>
      <w:r w:rsidRPr="00491DE1">
        <w:t xml:space="preserve"> млн. лв. Средствата се разпределят по общини от Министерство</w:t>
      </w:r>
      <w:r w:rsidR="009D192F">
        <w:t>то</w:t>
      </w:r>
      <w:r w:rsidRPr="00491DE1">
        <w:t xml:space="preserve"> на транспорта и съобщенията, с изключение на тези за Столична община. </w:t>
      </w:r>
    </w:p>
    <w:p w14:paraId="5F9A42C4" w14:textId="577B4E7E" w:rsidR="00411FD7" w:rsidRPr="00491DE1" w:rsidRDefault="00FF50D5" w:rsidP="00FF50D5">
      <w:pPr>
        <w:pStyle w:val="BodyTextIndent2"/>
        <w:spacing w:line="240" w:lineRule="auto"/>
        <w:ind w:left="0" w:firstLine="357"/>
        <w:jc w:val="both"/>
        <w:rPr>
          <w:noProof/>
        </w:rPr>
      </w:pPr>
      <w:r w:rsidRPr="00491DE1">
        <w:t>С ПМС № 11/2023 г. са одобрени 27 млн. лв. за извършване на плащания за прилагане на политиката по чл. 1, ал. 5, т. 13.4 от Закона за държавния бюджет на Република България за 2022 г. чрез трансфери за други целеви разходи на общините за субсидиране на превоз на пътниците по междуселищни автобусни линии извън тези по § 4, ал. 1 и 2 от Заключителните разпоредби на Закона за автомобилните превози. Средствата са усвоени изцяло</w:t>
      </w:r>
      <w:r w:rsidR="00411FD7" w:rsidRPr="00491DE1">
        <w:rPr>
          <w:noProof/>
        </w:rPr>
        <w:t>.</w:t>
      </w:r>
    </w:p>
    <w:p w14:paraId="08F65B60" w14:textId="6BE725B3" w:rsidR="00F2147E" w:rsidRPr="00491DE1" w:rsidRDefault="00F2147E" w:rsidP="00AC49A6">
      <w:pPr>
        <w:spacing w:after="120"/>
        <w:ind w:firstLine="567"/>
        <w:jc w:val="both"/>
      </w:pPr>
      <w:r w:rsidRPr="00491DE1">
        <w:rPr>
          <w:b/>
          <w:i/>
        </w:rPr>
        <w:t>Капиталовите трансфери</w:t>
      </w:r>
      <w:r w:rsidRPr="00491DE1">
        <w:t xml:space="preserve"> по централния бюджет към 3</w:t>
      </w:r>
      <w:r w:rsidR="00491DE1" w:rsidRPr="00491DE1">
        <w:t>0</w:t>
      </w:r>
      <w:r w:rsidRPr="00491DE1">
        <w:t>.0</w:t>
      </w:r>
      <w:r w:rsidR="00491DE1" w:rsidRPr="00491DE1">
        <w:t>6</w:t>
      </w:r>
      <w:r w:rsidRPr="00491DE1">
        <w:t>.202</w:t>
      </w:r>
      <w:r w:rsidR="00FF50D5" w:rsidRPr="00491DE1">
        <w:t>3</w:t>
      </w:r>
      <w:r w:rsidRPr="00491DE1">
        <w:t xml:space="preserve"> г. </w:t>
      </w:r>
      <w:r w:rsidR="00FF50D5" w:rsidRPr="00491DE1">
        <w:t>са в размер на 0</w:t>
      </w:r>
      <w:r w:rsidRPr="00491DE1">
        <w:t>,</w:t>
      </w:r>
      <w:r w:rsidR="00FF50D5" w:rsidRPr="00491DE1">
        <w:t>1</w:t>
      </w:r>
      <w:r w:rsidR="00231057" w:rsidRPr="00491DE1">
        <w:rPr>
          <w:lang w:val="en-US"/>
        </w:rPr>
        <w:t> </w:t>
      </w:r>
      <w:r w:rsidRPr="00491DE1">
        <w:t>млн.</w:t>
      </w:r>
      <w:r w:rsidR="00FF50D5" w:rsidRPr="00491DE1">
        <w:t> </w:t>
      </w:r>
      <w:r w:rsidRPr="00491DE1">
        <w:t>лв</w:t>
      </w:r>
      <w:r w:rsidR="00FF50D5" w:rsidRPr="00491DE1">
        <w:t>. и са изразходени в</w:t>
      </w:r>
      <w:r w:rsidRPr="00491DE1">
        <w:t xml:space="preserve"> изпълнение на Програмите за отстраняване на нанесени щети </w:t>
      </w:r>
      <w:r w:rsidRPr="00491DE1">
        <w:rPr>
          <w:noProof/>
        </w:rPr>
        <w:t>върху околната среда</w:t>
      </w:r>
      <w:r w:rsidRPr="00491DE1">
        <w:t xml:space="preserve">, настъпили от минали действия или бездействия, при приватизация. </w:t>
      </w:r>
    </w:p>
    <w:p w14:paraId="48368F44" w14:textId="77777777" w:rsidR="00B14EA1" w:rsidRPr="00491DE1" w:rsidRDefault="00B14EA1" w:rsidP="00B14EA1">
      <w:pPr>
        <w:spacing w:after="120"/>
        <w:ind w:firstLine="567"/>
        <w:jc w:val="both"/>
      </w:pPr>
      <w:r w:rsidRPr="00491DE1">
        <w:rPr>
          <w:bCs/>
        </w:rPr>
        <w:t xml:space="preserve">По централния бюджет са предвидени и </w:t>
      </w:r>
      <w:r w:rsidRPr="00491DE1">
        <w:rPr>
          <w:b/>
          <w:bCs/>
        </w:rPr>
        <w:t>други разходи</w:t>
      </w:r>
      <w:r w:rsidRPr="00491DE1">
        <w:rPr>
          <w:bCs/>
        </w:rPr>
        <w:t>, свързани с к</w:t>
      </w:r>
      <w:r w:rsidRPr="00491DE1">
        <w:t xml:space="preserve">омпенсиране със средства от държавния бюджет на </w:t>
      </w:r>
      <w:r w:rsidRPr="00491DE1">
        <w:rPr>
          <w:bCs/>
        </w:rPr>
        <w:t>намалените приходи от прилагането на цени за пътуване, предвидени в нормативни актове за определени категории пътници</w:t>
      </w:r>
      <w:r w:rsidRPr="00491DE1">
        <w:t xml:space="preserve"> по железопътния и автомобилния транспорт. Средствата </w:t>
      </w:r>
      <w:r w:rsidRPr="00491DE1">
        <w:rPr>
          <w:bCs/>
        </w:rPr>
        <w:t xml:space="preserve">се предоставят на „БДЖ-Пътнически превози“ ЕООД за компенсации за пътувания с железопътния транспорт и под формата на целеви трансфер на общините - </w:t>
      </w:r>
      <w:r w:rsidRPr="00491DE1">
        <w:t xml:space="preserve">за автомобилния транспорт. </w:t>
      </w:r>
    </w:p>
    <w:p w14:paraId="70230F00" w14:textId="5990CE42" w:rsidR="00B14EA1" w:rsidRPr="0055349C" w:rsidRDefault="00B14EA1" w:rsidP="00B14EA1">
      <w:pPr>
        <w:tabs>
          <w:tab w:val="left" w:pos="851"/>
        </w:tabs>
        <w:ind w:firstLine="567"/>
        <w:jc w:val="both"/>
        <w:rPr>
          <w:color w:val="0070C0"/>
          <w:sz w:val="8"/>
          <w:szCs w:val="8"/>
        </w:rPr>
      </w:pPr>
      <w:r w:rsidRPr="0055349C">
        <w:rPr>
          <w:color w:val="0070C0"/>
        </w:rPr>
        <w:t xml:space="preserve"> </w:t>
      </w:r>
      <w:r w:rsidRPr="00CA179F">
        <w:t>Предоставените средства за първ</w:t>
      </w:r>
      <w:r w:rsidR="00491DE1" w:rsidRPr="00CA179F">
        <w:t xml:space="preserve">ите шест месеца </w:t>
      </w:r>
      <w:r w:rsidRPr="00CA179F">
        <w:t xml:space="preserve">на 2023 г. са общо в размер на </w:t>
      </w:r>
      <w:r w:rsidR="00CA179F" w:rsidRPr="005217E8">
        <w:rPr>
          <w:lang w:val="ru-RU"/>
        </w:rPr>
        <w:t>76</w:t>
      </w:r>
      <w:r w:rsidRPr="00CA179F">
        <w:t>,</w:t>
      </w:r>
      <w:r w:rsidR="00CA179F" w:rsidRPr="005217E8">
        <w:rPr>
          <w:lang w:val="ru-RU"/>
        </w:rPr>
        <w:t>1</w:t>
      </w:r>
      <w:r w:rsidRPr="00CA179F">
        <w:t xml:space="preserve"> млн. лв., в т.ч. за вътрешноградския транспорт, междуселищния автомобилен транспорт и железопътния транспорт. </w:t>
      </w:r>
    </w:p>
    <w:p w14:paraId="09CA2F91" w14:textId="19E13F8E" w:rsidR="002346FD" w:rsidRPr="00CA179F" w:rsidRDefault="002346FD" w:rsidP="002346FD">
      <w:pPr>
        <w:tabs>
          <w:tab w:val="left" w:pos="851"/>
        </w:tabs>
        <w:ind w:firstLine="567"/>
        <w:jc w:val="both"/>
      </w:pPr>
      <w:r w:rsidRPr="00CA179F">
        <w:t xml:space="preserve">Допълнително, с ПМС № 10/2023 г. са одобрени средства в размер 73 млн. лв. за изпълнението на § 2 и 3 от същото постановление, представляващи средства за пътувания с вътрешноградския транспорт и междуселищния автомобилен транспорт. Усвоените средства за първото </w:t>
      </w:r>
      <w:r w:rsidR="00D11EC5">
        <w:t>полугодие</w:t>
      </w:r>
      <w:r w:rsidRPr="00CA179F">
        <w:t xml:space="preserve"> на 2023 г. са в размер на </w:t>
      </w:r>
      <w:r w:rsidR="00CA179F" w:rsidRPr="005217E8">
        <w:rPr>
          <w:lang w:val="ru-RU"/>
        </w:rPr>
        <w:t>33</w:t>
      </w:r>
      <w:r w:rsidRPr="00CA179F">
        <w:t>,</w:t>
      </w:r>
      <w:r w:rsidR="00CA179F" w:rsidRPr="005217E8">
        <w:rPr>
          <w:lang w:val="ru-RU"/>
        </w:rPr>
        <w:t>1</w:t>
      </w:r>
      <w:r w:rsidRPr="00CA179F">
        <w:t xml:space="preserve"> млн. лв. С това общият размер на усвоените средства за компенсиране на намалените приходи от прилагането на цени за пътува</w:t>
      </w:r>
      <w:r w:rsidR="00385328" w:rsidRPr="00CA179F">
        <w:t>не</w:t>
      </w:r>
      <w:r w:rsidRPr="00CA179F">
        <w:t xml:space="preserve">, предвидени в нормативни актове за определени категории пътници, е увеличен на </w:t>
      </w:r>
      <w:r w:rsidR="00CA179F" w:rsidRPr="005217E8">
        <w:rPr>
          <w:lang w:val="ru-RU"/>
        </w:rPr>
        <w:t>109</w:t>
      </w:r>
      <w:r w:rsidR="00CA179F" w:rsidRPr="00CA179F">
        <w:t>,2</w:t>
      </w:r>
      <w:r w:rsidRPr="00CA179F">
        <w:t xml:space="preserve"> млн. лв. за първото </w:t>
      </w:r>
      <w:r w:rsidR="00CA179F">
        <w:t>полугодие</w:t>
      </w:r>
      <w:r w:rsidRPr="00CA179F">
        <w:t xml:space="preserve"> на 2023 година.</w:t>
      </w:r>
    </w:p>
    <w:p w14:paraId="562E9C38" w14:textId="4C538B11" w:rsidR="00F2147E" w:rsidRPr="00CA179F" w:rsidRDefault="00F2147E" w:rsidP="00F2147E">
      <w:pPr>
        <w:tabs>
          <w:tab w:val="left" w:pos="851"/>
        </w:tabs>
        <w:ind w:firstLine="567"/>
        <w:jc w:val="both"/>
      </w:pPr>
      <w:r w:rsidRPr="00CA179F">
        <w:t>Предоставените средства към 3</w:t>
      </w:r>
      <w:r w:rsidR="00CA179F" w:rsidRPr="00CA179F">
        <w:t>0</w:t>
      </w:r>
      <w:r w:rsidRPr="00CA179F">
        <w:t>.0</w:t>
      </w:r>
      <w:r w:rsidR="00CA179F" w:rsidRPr="00CA179F">
        <w:t>6</w:t>
      </w:r>
      <w:r w:rsidRPr="00CA179F">
        <w:t>.202</w:t>
      </w:r>
      <w:r w:rsidR="002346FD" w:rsidRPr="00CA179F">
        <w:t>3</w:t>
      </w:r>
      <w:r w:rsidRPr="00CA179F">
        <w:t xml:space="preserve"> г. за компенсиране на намалените приходи от прилагането на цени за пътуване, предвидени в нормативни актове за определени категории пътници /компенсации/, структурирани според вида ползван транспорт – </w:t>
      </w:r>
      <w:r w:rsidRPr="00CA179F">
        <w:rPr>
          <w:noProof/>
        </w:rPr>
        <w:t xml:space="preserve">вътрешноградски транспорт и междуселищен </w:t>
      </w:r>
      <w:r w:rsidRPr="00CA179F">
        <w:t>автомобилен транспорт или железопътен транспорт</w:t>
      </w:r>
      <w:r w:rsidR="002346FD" w:rsidRPr="00CA179F">
        <w:t xml:space="preserve"> </w:t>
      </w:r>
      <w:r w:rsidRPr="00CA179F">
        <w:t>са както следва:</w:t>
      </w:r>
    </w:p>
    <w:p w14:paraId="552BF2B9" w14:textId="65F92B88" w:rsidR="00F2147E" w:rsidRPr="00CA179F" w:rsidRDefault="00F2147E" w:rsidP="00F2147E">
      <w:pPr>
        <w:ind w:firstLine="567"/>
        <w:jc w:val="both"/>
      </w:pPr>
      <w:r w:rsidRPr="00CA179F">
        <w:t xml:space="preserve">- компенсации за пътувания с железопътния транспорт в размер на </w:t>
      </w:r>
      <w:r w:rsidR="00CA179F" w:rsidRPr="00CA179F">
        <w:t>4</w:t>
      </w:r>
      <w:r w:rsidRPr="00CA179F">
        <w:t>,</w:t>
      </w:r>
      <w:r w:rsidR="00CA179F" w:rsidRPr="00CA179F">
        <w:t>0</w:t>
      </w:r>
      <w:r w:rsidRPr="00CA179F">
        <w:t xml:space="preserve"> млн. лв.; </w:t>
      </w:r>
    </w:p>
    <w:p w14:paraId="120B9002" w14:textId="059BDEE9" w:rsidR="00F2147E" w:rsidRPr="00CA179F" w:rsidRDefault="00F2147E" w:rsidP="00F2147E">
      <w:pPr>
        <w:tabs>
          <w:tab w:val="left" w:pos="540"/>
          <w:tab w:val="left" w:pos="709"/>
        </w:tabs>
        <w:ind w:firstLine="567"/>
        <w:jc w:val="both"/>
        <w:rPr>
          <w:noProof/>
        </w:rPr>
      </w:pPr>
      <w:r w:rsidRPr="00CA179F">
        <w:rPr>
          <w:noProof/>
        </w:rPr>
        <w:t>- компенсации за пътувания с вътрешноградски транспорт и междуселищния автомобилен транспорт в страната, предоставени чрез Системата за еле</w:t>
      </w:r>
      <w:r w:rsidR="002346FD" w:rsidRPr="00CA179F">
        <w:rPr>
          <w:noProof/>
        </w:rPr>
        <w:t xml:space="preserve">ктронни бюджетни разплащания – </w:t>
      </w:r>
      <w:r w:rsidR="00CA179F" w:rsidRPr="00CA179F">
        <w:rPr>
          <w:noProof/>
        </w:rPr>
        <w:t>10</w:t>
      </w:r>
      <w:r w:rsidR="002346FD" w:rsidRPr="00CA179F">
        <w:rPr>
          <w:noProof/>
        </w:rPr>
        <w:t>5</w:t>
      </w:r>
      <w:r w:rsidRPr="00CA179F">
        <w:rPr>
          <w:noProof/>
        </w:rPr>
        <w:t>,</w:t>
      </w:r>
      <w:r w:rsidR="00CA179F" w:rsidRPr="00CA179F">
        <w:rPr>
          <w:noProof/>
        </w:rPr>
        <w:t>2</w:t>
      </w:r>
      <w:r w:rsidRPr="00CA179F">
        <w:rPr>
          <w:noProof/>
        </w:rPr>
        <w:t xml:space="preserve"> млн. лв. </w:t>
      </w:r>
    </w:p>
    <w:p w14:paraId="60A0464F" w14:textId="69DA5CC4" w:rsidR="00F2147E" w:rsidRPr="00CA179F" w:rsidRDefault="00F2147E" w:rsidP="00F2147E">
      <w:pPr>
        <w:ind w:firstLine="567"/>
        <w:jc w:val="both"/>
        <w:rPr>
          <w:noProof/>
        </w:rPr>
      </w:pPr>
      <w:r w:rsidRPr="00CA179F">
        <w:rPr>
          <w:noProof/>
        </w:rPr>
        <w:t xml:space="preserve">Предоставените средства за </w:t>
      </w:r>
      <w:r w:rsidRPr="00CA179F">
        <w:t>компенсиране на намалените приходи от прилагането на цени за пътуване, предвидени в нормативни актове за определени категории пътници,</w:t>
      </w:r>
      <w:r w:rsidRPr="00CA179F">
        <w:rPr>
          <w:noProof/>
        </w:rPr>
        <w:t xml:space="preserve"> по вътрешноградския транспорт и междуселищния автомобилен транспорт за </w:t>
      </w:r>
      <w:r w:rsidR="002346FD" w:rsidRPr="00CA179F">
        <w:rPr>
          <w:noProof/>
        </w:rPr>
        <w:t>първ</w:t>
      </w:r>
      <w:r w:rsidR="00CA179F" w:rsidRPr="00CA179F">
        <w:rPr>
          <w:noProof/>
        </w:rPr>
        <w:t>ите шест месеца</w:t>
      </w:r>
      <w:r w:rsidR="002346FD" w:rsidRPr="00CA179F">
        <w:rPr>
          <w:noProof/>
        </w:rPr>
        <w:t xml:space="preserve"> </w:t>
      </w:r>
      <w:r w:rsidRPr="00CA179F">
        <w:rPr>
          <w:noProof/>
        </w:rPr>
        <w:t>на 202</w:t>
      </w:r>
      <w:r w:rsidR="002346FD" w:rsidRPr="00CA179F">
        <w:rPr>
          <w:noProof/>
        </w:rPr>
        <w:t>3</w:t>
      </w:r>
      <w:r w:rsidRPr="00CA179F">
        <w:rPr>
          <w:noProof/>
        </w:rPr>
        <w:t xml:space="preserve"> г., диференцирани по групи правоимащи лица и размер на намалението спрямо редовната цена, са както следва:</w:t>
      </w:r>
    </w:p>
    <w:p w14:paraId="7FB63DA1" w14:textId="73962F8C" w:rsidR="00F2147E" w:rsidRPr="00CA179F" w:rsidRDefault="00F2147E" w:rsidP="00F2147E">
      <w:pPr>
        <w:pStyle w:val="BodyTextIndent"/>
        <w:spacing w:after="0"/>
        <w:ind w:left="0" w:firstLine="567"/>
        <w:jc w:val="both"/>
      </w:pPr>
      <w:r w:rsidRPr="00CA179F">
        <w:t xml:space="preserve">- </w:t>
      </w:r>
      <w:r w:rsidR="00CA179F" w:rsidRPr="00CA179F">
        <w:t>34</w:t>
      </w:r>
      <w:r w:rsidRPr="00CA179F">
        <w:t>,</w:t>
      </w:r>
      <w:r w:rsidR="00CA179F" w:rsidRPr="00CA179F">
        <w:t>7</w:t>
      </w:r>
      <w:r w:rsidRPr="00CA179F">
        <w:t xml:space="preserve"> млн. лв. за транспорт на деца и ученици; </w:t>
      </w:r>
    </w:p>
    <w:p w14:paraId="0D675023" w14:textId="5DB35310" w:rsidR="00F2147E" w:rsidRPr="00CA179F" w:rsidRDefault="00F2147E" w:rsidP="00F2147E">
      <w:pPr>
        <w:pStyle w:val="BodyTextIndent"/>
        <w:tabs>
          <w:tab w:val="left" w:pos="1026"/>
        </w:tabs>
        <w:spacing w:after="0"/>
        <w:ind w:left="0" w:firstLine="567"/>
        <w:jc w:val="both"/>
      </w:pPr>
      <w:r w:rsidRPr="00CA179F">
        <w:t xml:space="preserve">- </w:t>
      </w:r>
      <w:r w:rsidR="00CA179F" w:rsidRPr="00CA179F">
        <w:t>70</w:t>
      </w:r>
      <w:r w:rsidRPr="00CA179F">
        <w:t>,</w:t>
      </w:r>
      <w:r w:rsidR="00CA179F" w:rsidRPr="00CA179F">
        <w:t>5</w:t>
      </w:r>
      <w:r w:rsidRPr="00CA179F">
        <w:t xml:space="preserve"> млн. лв. за безплатни и по на</w:t>
      </w:r>
      <w:r w:rsidR="00B56995" w:rsidRPr="00CA179F">
        <w:t>малени цени пътувания по общини, в това число</w:t>
      </w:r>
      <w:r w:rsidRPr="00CA179F">
        <w:t>:</w:t>
      </w:r>
    </w:p>
    <w:p w14:paraId="4F7A11ED" w14:textId="43FAFD40" w:rsidR="00F2147E" w:rsidRPr="00713BA4" w:rsidRDefault="00CA179F" w:rsidP="00754B16">
      <w:pPr>
        <w:numPr>
          <w:ilvl w:val="0"/>
          <w:numId w:val="30"/>
        </w:numPr>
        <w:tabs>
          <w:tab w:val="left" w:pos="993"/>
        </w:tabs>
        <w:jc w:val="both"/>
      </w:pPr>
      <w:r w:rsidRPr="00713BA4">
        <w:t>29</w:t>
      </w:r>
      <w:r w:rsidR="00F2147E" w:rsidRPr="00713BA4">
        <w:t>,</w:t>
      </w:r>
      <w:r w:rsidR="00B56995" w:rsidRPr="00713BA4">
        <w:t>0</w:t>
      </w:r>
      <w:r w:rsidR="00F2147E" w:rsidRPr="00713BA4">
        <w:t xml:space="preserve"> млн. лв. за безплатни пътувания на деца до седемгодишна възраст, ветерани от войните, военноинвалиди и военнопострадали, както и пътувания по намалени цени на деца от 7 до 10 навършени години, учащи се и лица, получаващи пенсия, с вътрешноградския транспорт и междуселищния автомобилен транспорт; </w:t>
      </w:r>
    </w:p>
    <w:p w14:paraId="190E8851" w14:textId="24502637" w:rsidR="00F2147E" w:rsidRPr="00713BA4" w:rsidRDefault="00CA179F" w:rsidP="00754B16">
      <w:pPr>
        <w:numPr>
          <w:ilvl w:val="0"/>
          <w:numId w:val="30"/>
        </w:numPr>
        <w:tabs>
          <w:tab w:val="left" w:pos="993"/>
        </w:tabs>
        <w:jc w:val="both"/>
      </w:pPr>
      <w:r w:rsidRPr="00713BA4">
        <w:t>8</w:t>
      </w:r>
      <w:r w:rsidR="00F2147E" w:rsidRPr="00713BA4">
        <w:t>,</w:t>
      </w:r>
      <w:r w:rsidRPr="00713BA4">
        <w:t>4</w:t>
      </w:r>
      <w:r w:rsidR="00F2147E" w:rsidRPr="00713BA4">
        <w:t xml:space="preserve"> млн. лв. за превоз на служители, ползващи право на безплатно пътуване при изпълнение на служебните си задължения</w:t>
      </w:r>
      <w:r w:rsidR="00B56995" w:rsidRPr="00713BA4">
        <w:t>;</w:t>
      </w:r>
    </w:p>
    <w:p w14:paraId="078E90A0" w14:textId="6B1841A6" w:rsidR="00B56995" w:rsidRPr="00713BA4" w:rsidRDefault="00CA179F" w:rsidP="00B56995">
      <w:pPr>
        <w:numPr>
          <w:ilvl w:val="0"/>
          <w:numId w:val="30"/>
        </w:numPr>
        <w:tabs>
          <w:tab w:val="left" w:pos="993"/>
        </w:tabs>
        <w:jc w:val="both"/>
      </w:pPr>
      <w:r w:rsidRPr="00713BA4">
        <w:t>33</w:t>
      </w:r>
      <w:r w:rsidR="00B56995" w:rsidRPr="00713BA4">
        <w:t>,</w:t>
      </w:r>
      <w:r w:rsidRPr="00713BA4">
        <w:t>1</w:t>
      </w:r>
      <w:r w:rsidR="00B56995" w:rsidRPr="00713BA4">
        <w:t xml:space="preserve"> млн. лв. за пътувания с вътрешноградския транспорт и междуселищния автомобилен транспорт в съответствие с ПМС № 10/2023 г.</w:t>
      </w:r>
    </w:p>
    <w:p w14:paraId="5F9884CB" w14:textId="77777777" w:rsidR="00333B5E" w:rsidRPr="0055349C" w:rsidRDefault="00333B5E" w:rsidP="00333B5E">
      <w:pPr>
        <w:jc w:val="both"/>
        <w:rPr>
          <w:color w:val="0070C0"/>
          <w:sz w:val="12"/>
          <w:szCs w:val="12"/>
        </w:rPr>
      </w:pPr>
    </w:p>
    <w:p w14:paraId="1044F767" w14:textId="77777777" w:rsidR="00772EF8" w:rsidRPr="006C722C" w:rsidRDefault="00772EF8" w:rsidP="00772EF8">
      <w:pPr>
        <w:numPr>
          <w:ilvl w:val="0"/>
          <w:numId w:val="7"/>
        </w:numPr>
        <w:spacing w:after="120"/>
        <w:ind w:left="0" w:firstLine="360"/>
        <w:jc w:val="both"/>
        <w:rPr>
          <w:b/>
        </w:rPr>
      </w:pPr>
      <w:r w:rsidRPr="006C722C">
        <w:rPr>
          <w:b/>
        </w:rPr>
        <w:t xml:space="preserve">Разходи за лихви </w:t>
      </w:r>
    </w:p>
    <w:p w14:paraId="3839CD9C" w14:textId="77777777" w:rsidR="00C14213" w:rsidRPr="00F159DC" w:rsidRDefault="00C14213" w:rsidP="00C14213">
      <w:pPr>
        <w:spacing w:after="60"/>
        <w:jc w:val="both"/>
      </w:pPr>
      <w:r w:rsidRPr="00F159DC">
        <w:rPr>
          <w:b/>
        </w:rPr>
        <w:t xml:space="preserve">Лихвените плащания </w:t>
      </w:r>
      <w:r w:rsidRPr="00F159DC">
        <w:t xml:space="preserve">по държавния бюджет към </w:t>
      </w:r>
      <w:r w:rsidRPr="00F159DC">
        <w:rPr>
          <w:lang w:val="ru-RU"/>
        </w:rPr>
        <w:t>30.06.2023</w:t>
      </w:r>
      <w:r w:rsidRPr="00F159DC">
        <w:t xml:space="preserve"> г. са в общ размер на </w:t>
      </w:r>
      <w:r w:rsidRPr="00B019A1">
        <w:rPr>
          <w:b/>
          <w:lang w:val="ru-RU"/>
        </w:rPr>
        <w:t>326</w:t>
      </w:r>
      <w:r w:rsidRPr="00F159DC">
        <w:rPr>
          <w:b/>
        </w:rPr>
        <w:t>,9 млн. лева</w:t>
      </w:r>
      <w:r w:rsidRPr="00F159DC">
        <w:t xml:space="preserve">. </w:t>
      </w:r>
    </w:p>
    <w:p w14:paraId="1C91A726" w14:textId="77777777" w:rsidR="00C14213" w:rsidRPr="008C38D6" w:rsidRDefault="00C14213" w:rsidP="00C14213">
      <w:pPr>
        <w:spacing w:after="120"/>
        <w:jc w:val="both"/>
        <w:rPr>
          <w:color w:val="0070C0"/>
        </w:rPr>
      </w:pPr>
      <w:r w:rsidRPr="00F159DC">
        <w:t xml:space="preserve">Разходите за </w:t>
      </w:r>
      <w:r w:rsidRPr="00F159DC">
        <w:rPr>
          <w:b/>
        </w:rPr>
        <w:t>лихви по външни заеми</w:t>
      </w:r>
      <w:r w:rsidRPr="00F159DC">
        <w:t xml:space="preserve"> са в размер на </w:t>
      </w:r>
      <w:r w:rsidRPr="00F159DC">
        <w:rPr>
          <w:lang w:val="ru-RU"/>
        </w:rPr>
        <w:t>268,3</w:t>
      </w:r>
      <w:r w:rsidRPr="00F159DC">
        <w:t xml:space="preserve"> млн. лв., в т.ч. 258,1 млн. лв. по централния бюджет. Разходите за лихви по ДИЗ, управлявани от министерства и ведомства, са в размер на 10,1 млн. л</w:t>
      </w:r>
      <w:r>
        <w:t>е</w:t>
      </w:r>
      <w:r w:rsidRPr="00F159DC">
        <w:t>в</w:t>
      </w:r>
      <w:r>
        <w:t>а</w:t>
      </w:r>
      <w:r w:rsidRPr="00F159DC">
        <w:t xml:space="preserve">. </w:t>
      </w:r>
    </w:p>
    <w:p w14:paraId="1AC62F9A" w14:textId="77777777" w:rsidR="00C14213" w:rsidRPr="00F159DC" w:rsidRDefault="00C14213" w:rsidP="00C14213">
      <w:pPr>
        <w:spacing w:after="120"/>
        <w:jc w:val="both"/>
        <w:rPr>
          <w:b/>
        </w:rPr>
      </w:pPr>
      <w:r w:rsidRPr="00F159DC">
        <w:t>През отчетния период не са използвани средства за покриване на риска от активиране на държавни гаранции.</w:t>
      </w:r>
      <w:r w:rsidRPr="00F159DC">
        <w:rPr>
          <w:b/>
        </w:rPr>
        <w:t xml:space="preserve"> </w:t>
      </w:r>
    </w:p>
    <w:p w14:paraId="401CF5C5" w14:textId="77777777" w:rsidR="00C14213" w:rsidRPr="00F159DC" w:rsidRDefault="00C14213" w:rsidP="00C14213">
      <w:pPr>
        <w:spacing w:after="60"/>
        <w:jc w:val="both"/>
      </w:pPr>
      <w:r w:rsidRPr="00F159DC">
        <w:rPr>
          <w:b/>
        </w:rPr>
        <w:t>Лихвите по вътрешни заеми</w:t>
      </w:r>
      <w:r w:rsidRPr="00F159DC">
        <w:t xml:space="preserve"> по държавния бюджет </w:t>
      </w:r>
      <w:r w:rsidRPr="00F159DC">
        <w:rPr>
          <w:bCs/>
        </w:rPr>
        <w:t>към юни 2023</w:t>
      </w:r>
      <w:r w:rsidRPr="00F159DC">
        <w:t xml:space="preserve"> г. са в размер на </w:t>
      </w:r>
      <w:r w:rsidRPr="00F159DC">
        <w:rPr>
          <w:b/>
          <w:lang w:val="ru-RU"/>
        </w:rPr>
        <w:t>58,7</w:t>
      </w:r>
      <w:r w:rsidRPr="00F159DC">
        <w:rPr>
          <w:b/>
        </w:rPr>
        <w:t> млн. лв.</w:t>
      </w:r>
      <w:r w:rsidRPr="00F159DC">
        <w:t xml:space="preserve"> и представляват </w:t>
      </w:r>
      <w:r>
        <w:t xml:space="preserve">основно </w:t>
      </w:r>
      <w:r w:rsidRPr="00F159DC">
        <w:t xml:space="preserve">лихви по емисии на ДЦК на вътрешния пазар. </w:t>
      </w:r>
    </w:p>
    <w:p w14:paraId="320D63B4" w14:textId="77777777" w:rsidR="00C14213" w:rsidRPr="00C14213" w:rsidRDefault="00C14213" w:rsidP="00C14213">
      <w:pPr>
        <w:pStyle w:val="ListParagraph"/>
        <w:numPr>
          <w:ilvl w:val="0"/>
          <w:numId w:val="22"/>
        </w:numPr>
        <w:tabs>
          <w:tab w:val="left" w:pos="426"/>
        </w:tabs>
        <w:spacing w:before="120" w:after="60" w:line="240" w:lineRule="auto"/>
        <w:ind w:left="0" w:firstLine="0"/>
        <w:contextualSpacing w:val="0"/>
        <w:rPr>
          <w:rFonts w:ascii="Times New Roman" w:hAnsi="Times New Roman"/>
          <w:b/>
          <w:bCs/>
        </w:rPr>
      </w:pPr>
      <w:r w:rsidRPr="00C14213">
        <w:rPr>
          <w:rFonts w:ascii="Times New Roman" w:hAnsi="Times New Roman"/>
          <w:b/>
          <w:bCs/>
        </w:rPr>
        <w:t>Нетният размер на трансферите по държавния бюджет</w:t>
      </w:r>
      <w:r w:rsidRPr="00C14213">
        <w:rPr>
          <w:rFonts w:ascii="Times New Roman" w:hAnsi="Times New Roman"/>
          <w:bCs/>
        </w:rPr>
        <w:t xml:space="preserve">  към юни 2023</w:t>
      </w:r>
      <w:r w:rsidRPr="00C14213">
        <w:rPr>
          <w:rFonts w:ascii="Times New Roman" w:hAnsi="Times New Roman"/>
        </w:rPr>
        <w:t xml:space="preserve"> г.</w:t>
      </w:r>
      <w:r w:rsidRPr="00C14213">
        <w:rPr>
          <w:rFonts w:ascii="Times New Roman" w:hAnsi="Times New Roman"/>
          <w:bCs/>
        </w:rPr>
        <w:t xml:space="preserve"> е</w:t>
      </w:r>
      <w:r w:rsidRPr="00C14213">
        <w:rPr>
          <w:rFonts w:ascii="Times New Roman" w:hAnsi="Times New Roman"/>
          <w:b/>
          <w:bCs/>
        </w:rPr>
        <w:t xml:space="preserve"> 10 677,4</w:t>
      </w:r>
      <w:r w:rsidRPr="00C14213">
        <w:rPr>
          <w:rFonts w:ascii="Times New Roman" w:eastAsia="Calibri" w:hAnsi="Times New Roman"/>
          <w:b/>
        </w:rPr>
        <w:t> </w:t>
      </w:r>
      <w:r w:rsidRPr="00C14213">
        <w:rPr>
          <w:rFonts w:ascii="Times New Roman" w:hAnsi="Times New Roman"/>
          <w:b/>
          <w:bCs/>
        </w:rPr>
        <w:t xml:space="preserve">млн. лв.,  </w:t>
      </w:r>
      <w:r w:rsidRPr="00C14213">
        <w:rPr>
          <w:rFonts w:ascii="Times New Roman" w:hAnsi="Times New Roman"/>
          <w:bCs/>
        </w:rPr>
        <w:t>в т.ч.:</w:t>
      </w:r>
      <w:r w:rsidRPr="00C14213">
        <w:rPr>
          <w:rFonts w:ascii="Times New Roman" w:hAnsi="Times New Roman"/>
          <w:b/>
          <w:bCs/>
        </w:rPr>
        <w:t xml:space="preserve"> </w:t>
      </w:r>
    </w:p>
    <w:p w14:paraId="46B6C1C3" w14:textId="77777777" w:rsidR="00C14213" w:rsidRPr="0078047C" w:rsidRDefault="00C14213" w:rsidP="00C14213">
      <w:pPr>
        <w:numPr>
          <w:ilvl w:val="0"/>
          <w:numId w:val="18"/>
        </w:numPr>
        <w:tabs>
          <w:tab w:val="clear" w:pos="700"/>
          <w:tab w:val="left" w:pos="180"/>
          <w:tab w:val="num" w:pos="540"/>
          <w:tab w:val="num" w:pos="1495"/>
          <w:tab w:val="num" w:pos="9858"/>
        </w:tabs>
        <w:ind w:left="538" w:hanging="357"/>
        <w:jc w:val="both"/>
      </w:pPr>
      <w:r w:rsidRPr="0078047C">
        <w:t>бюджетните  взаимоотношения  с  общините  включват  нето трансфери  и временни безлихвени заеми в  размер  на 3 955,8 млн. лв.,</w:t>
      </w:r>
      <w:r w:rsidRPr="0078047C">
        <w:rPr>
          <w:lang w:val="ru-RU"/>
        </w:rPr>
        <w:t xml:space="preserve"> </w:t>
      </w:r>
      <w:r w:rsidRPr="0078047C">
        <w:t>от които субсидии от централния бюджет в размер на 3 384,7 млн. лв., други целеви трансфери от централния бюджет в размер на 224,2 млн. лв., нетни трансфери от/за други бюджети в размер на 356,7 млн. лв. и възстановени трансфери от предходни години в централния бюджет – 9,8 млн. лева;</w:t>
      </w:r>
    </w:p>
    <w:p w14:paraId="6C3439B8" w14:textId="77777777" w:rsidR="00C14213" w:rsidRPr="00763EE3" w:rsidRDefault="00C14213" w:rsidP="00C14213">
      <w:pPr>
        <w:numPr>
          <w:ilvl w:val="0"/>
          <w:numId w:val="18"/>
        </w:numPr>
        <w:tabs>
          <w:tab w:val="clear" w:pos="700"/>
          <w:tab w:val="left" w:pos="180"/>
          <w:tab w:val="num" w:pos="540"/>
          <w:tab w:val="num" w:pos="1495"/>
          <w:tab w:val="num" w:pos="9858"/>
        </w:tabs>
        <w:ind w:left="538" w:hanging="357"/>
        <w:jc w:val="both"/>
      </w:pPr>
      <w:r w:rsidRPr="00763EE3">
        <w:t>на социалноосигурителните фондове (нето) – 5 949,4 млн. лв.;</w:t>
      </w:r>
    </w:p>
    <w:p w14:paraId="2A97268E" w14:textId="77777777" w:rsidR="00C14213" w:rsidRPr="00FA6089" w:rsidRDefault="00C14213" w:rsidP="00C14213">
      <w:pPr>
        <w:numPr>
          <w:ilvl w:val="0"/>
          <w:numId w:val="18"/>
        </w:numPr>
        <w:tabs>
          <w:tab w:val="clear" w:pos="700"/>
          <w:tab w:val="left" w:pos="180"/>
          <w:tab w:val="num" w:pos="540"/>
          <w:tab w:val="num" w:pos="1495"/>
          <w:tab w:val="num" w:pos="9858"/>
        </w:tabs>
        <w:ind w:left="538" w:hanging="357"/>
        <w:jc w:val="both"/>
      </w:pPr>
      <w:r w:rsidRPr="00FA6089">
        <w:t>на други автономни бюджети (ДВУ, БАН, ССА, БНТ, БНР и БТА) – 528,8 млн. лв.</w:t>
      </w:r>
    </w:p>
    <w:p w14:paraId="03AEDFD8" w14:textId="77777777" w:rsidR="00C14213" w:rsidRPr="00966DBA" w:rsidRDefault="00C14213" w:rsidP="00C14213">
      <w:pPr>
        <w:numPr>
          <w:ilvl w:val="0"/>
          <w:numId w:val="6"/>
        </w:numPr>
        <w:tabs>
          <w:tab w:val="clear" w:pos="7650"/>
          <w:tab w:val="left" w:pos="426"/>
        </w:tabs>
        <w:spacing w:before="120"/>
        <w:ind w:left="0" w:firstLine="0"/>
        <w:jc w:val="both"/>
        <w:rPr>
          <w:bCs/>
        </w:rPr>
      </w:pPr>
      <w:r w:rsidRPr="00966DBA">
        <w:t>Частта от</w:t>
      </w:r>
      <w:r w:rsidRPr="00966DBA">
        <w:rPr>
          <w:b/>
        </w:rPr>
        <w:t xml:space="preserve"> вноската на Република България в общия бюджет на ЕС, </w:t>
      </w:r>
      <w:r w:rsidRPr="00966DBA">
        <w:t>изплатена към 30.06.2023 г. от централния бюджет, възлиза на</w:t>
      </w:r>
      <w:r w:rsidRPr="00966DBA">
        <w:rPr>
          <w:b/>
        </w:rPr>
        <w:t xml:space="preserve"> 847,6 млн. лева.</w:t>
      </w:r>
      <w:r w:rsidRPr="00966DBA">
        <w:t xml:space="preserve"> </w:t>
      </w:r>
    </w:p>
    <w:p w14:paraId="66CE152B" w14:textId="77777777" w:rsidR="00C14213" w:rsidRPr="00406DDA" w:rsidRDefault="00C14213" w:rsidP="00C14213">
      <w:pPr>
        <w:numPr>
          <w:ilvl w:val="0"/>
          <w:numId w:val="6"/>
        </w:numPr>
        <w:tabs>
          <w:tab w:val="clear" w:pos="7650"/>
          <w:tab w:val="num" w:pos="426"/>
        </w:tabs>
        <w:spacing w:before="240" w:after="240"/>
        <w:ind w:left="0" w:firstLine="0"/>
        <w:jc w:val="both"/>
        <w:rPr>
          <w:sz w:val="16"/>
          <w:szCs w:val="16"/>
        </w:rPr>
      </w:pPr>
      <w:r w:rsidRPr="00406DDA">
        <w:rPr>
          <w:b/>
        </w:rPr>
        <w:t>Бюджетното салдо по държавния бюджет</w:t>
      </w:r>
      <w:r w:rsidRPr="00406DDA">
        <w:t xml:space="preserve"> към </w:t>
      </w:r>
      <w:r w:rsidRPr="00406DDA">
        <w:rPr>
          <w:lang w:val="ru-RU"/>
        </w:rPr>
        <w:t>30.06.2023</w:t>
      </w:r>
      <w:r w:rsidRPr="00406DDA">
        <w:t xml:space="preserve"> г. </w:t>
      </w:r>
      <w:r w:rsidRPr="00406DDA">
        <w:rPr>
          <w:b/>
        </w:rPr>
        <w:t>е отрицателно</w:t>
      </w:r>
      <w:r w:rsidRPr="00406DDA">
        <w:t xml:space="preserve"> в размер на </w:t>
      </w:r>
      <w:r w:rsidRPr="00406DDA">
        <w:rPr>
          <w:b/>
        </w:rPr>
        <w:t>855,8 млн. лева</w:t>
      </w:r>
      <w:r w:rsidRPr="00406DDA">
        <w:t xml:space="preserve">. </w:t>
      </w:r>
    </w:p>
    <w:p w14:paraId="0B0EF934" w14:textId="77777777" w:rsidR="00C14213" w:rsidRPr="00406DDA" w:rsidRDefault="00C14213" w:rsidP="00C14213">
      <w:pPr>
        <w:numPr>
          <w:ilvl w:val="0"/>
          <w:numId w:val="6"/>
        </w:numPr>
        <w:tabs>
          <w:tab w:val="clear" w:pos="7650"/>
          <w:tab w:val="num" w:pos="426"/>
        </w:tabs>
        <w:spacing w:before="240" w:after="240"/>
        <w:ind w:left="0" w:firstLine="0"/>
        <w:jc w:val="both"/>
        <w:rPr>
          <w:b/>
        </w:rPr>
      </w:pPr>
      <w:r w:rsidRPr="00406DDA">
        <w:rPr>
          <w:b/>
        </w:rPr>
        <w:t>Финансиране на бюджета чрез операции по дълга</w:t>
      </w:r>
    </w:p>
    <w:p w14:paraId="587AE68D" w14:textId="77777777" w:rsidR="00C14213" w:rsidRPr="00A01C0C" w:rsidRDefault="00C14213" w:rsidP="00C14213">
      <w:pPr>
        <w:spacing w:after="120"/>
        <w:jc w:val="both"/>
      </w:pPr>
      <w:r w:rsidRPr="00A01C0C">
        <w:t>Към 30.06.2023 г. е отчетено положително нетно външно финансиране по централния бюджет в размер на 610,8 млн. лева.</w:t>
      </w:r>
    </w:p>
    <w:p w14:paraId="7DEBA4EE" w14:textId="77777777" w:rsidR="00C14213" w:rsidRPr="00A01C0C" w:rsidRDefault="00C14213" w:rsidP="00C14213">
      <w:pPr>
        <w:spacing w:after="120"/>
        <w:jc w:val="both"/>
      </w:pPr>
      <w:r w:rsidRPr="00A01C0C">
        <w:rPr>
          <w:b/>
        </w:rPr>
        <w:t>Постъпленията по централния бюджет</w:t>
      </w:r>
      <w:r w:rsidRPr="00A01C0C">
        <w:t xml:space="preserve"> възлизат на 2 869,6 млн. лв. - на 23.01.2023 г. постъпиха средствата от емитирания единичен транш - 10-годишни еврови облигации по Средносрочната глобална програма за емитиране на дълг в размер от 1,5 млрд. евро номинална стойност, при лихвен купон 4,5 % и доходност 4,78</w:t>
      </w:r>
      <w:r w:rsidRPr="00A01C0C">
        <w:rPr>
          <w:lang w:val="ru-RU"/>
        </w:rPr>
        <w:t xml:space="preserve"> %</w:t>
      </w:r>
      <w:r w:rsidRPr="00A01C0C">
        <w:t>.</w:t>
      </w:r>
    </w:p>
    <w:p w14:paraId="54234C60" w14:textId="77777777" w:rsidR="00C14213" w:rsidRPr="00BC62AE" w:rsidRDefault="00C14213" w:rsidP="00C14213">
      <w:pPr>
        <w:spacing w:after="120"/>
        <w:jc w:val="both"/>
      </w:pPr>
      <w:r w:rsidRPr="00BF7E22">
        <w:rPr>
          <w:b/>
        </w:rPr>
        <w:t>Извършените погашения от централен бюджет възлизат на</w:t>
      </w:r>
      <w:r w:rsidRPr="00BF7E22">
        <w:t xml:space="preserve"> </w:t>
      </w:r>
      <w:r w:rsidRPr="00BF7E22">
        <w:rPr>
          <w:b/>
        </w:rPr>
        <w:t xml:space="preserve">2 258,9 млн. лв. </w:t>
      </w:r>
      <w:r w:rsidRPr="00BF7E22">
        <w:t>(главница),</w:t>
      </w:r>
      <w:r w:rsidRPr="00BF7E22">
        <w:rPr>
          <w:b/>
        </w:rPr>
        <w:t xml:space="preserve"> </w:t>
      </w:r>
      <w:r w:rsidRPr="00BF7E22">
        <w:t xml:space="preserve">като на 21 март са изплатени 1 144 млн. евро (2 237,5 млн. лв.) номинална стойност в полза на държателите на седемгодишни еврооблигации на Република България, които са част от емитираните през март 2016 г. на международните капиталови пазари два транша облигации по </w:t>
      </w:r>
      <w:r w:rsidRPr="00BC62AE">
        <w:t>средносрочната програма за емитиране на дълг на външните пазари.</w:t>
      </w:r>
    </w:p>
    <w:p w14:paraId="6935D9E9" w14:textId="77777777" w:rsidR="00C14213" w:rsidRPr="00BC62AE" w:rsidRDefault="00C14213" w:rsidP="00C14213">
      <w:pPr>
        <w:spacing w:before="120" w:after="120"/>
        <w:jc w:val="both"/>
      </w:pPr>
      <w:r w:rsidRPr="00BC62AE">
        <w:t xml:space="preserve">По </w:t>
      </w:r>
      <w:r w:rsidRPr="00BC62AE">
        <w:rPr>
          <w:b/>
        </w:rPr>
        <w:t xml:space="preserve">държавните инвестиционни заеми </w:t>
      </w:r>
      <w:r w:rsidRPr="00BC62AE">
        <w:t xml:space="preserve">(ДИЗ), управлявани от министерства и ведомства, през отчетния период няма </w:t>
      </w:r>
      <w:r w:rsidRPr="00BC62AE">
        <w:rPr>
          <w:b/>
          <w:i/>
        </w:rPr>
        <w:t>усвоени</w:t>
      </w:r>
      <w:r w:rsidRPr="00BC62AE">
        <w:t xml:space="preserve"> средства. </w:t>
      </w:r>
    </w:p>
    <w:p w14:paraId="51F5B415" w14:textId="77777777" w:rsidR="00C14213" w:rsidRPr="00BC62AE" w:rsidRDefault="00C14213" w:rsidP="00C14213">
      <w:pPr>
        <w:spacing w:after="120"/>
        <w:jc w:val="both"/>
      </w:pPr>
      <w:r w:rsidRPr="00BC62AE">
        <w:rPr>
          <w:b/>
          <w:i/>
        </w:rPr>
        <w:t>Изплатените погашения</w:t>
      </w:r>
      <w:r w:rsidRPr="00BC62AE">
        <w:t xml:space="preserve"> по ДИЗ, управлявани от министерства и ведомства, са в размер на </w:t>
      </w:r>
      <w:r w:rsidRPr="003565C2">
        <w:rPr>
          <w:b/>
        </w:rPr>
        <w:t>52,5 млн. лв.</w:t>
      </w:r>
      <w:r w:rsidRPr="00BC62AE">
        <w:t xml:space="preserve"> По заемите с краен бенефициент търговско дружество извършените погашения са в размер на </w:t>
      </w:r>
      <w:r>
        <w:rPr>
          <w:lang w:val="ru-RU"/>
        </w:rPr>
        <w:t>4,9</w:t>
      </w:r>
      <w:r w:rsidRPr="00BC62AE">
        <w:t xml:space="preserve"> млн. лева. </w:t>
      </w:r>
    </w:p>
    <w:p w14:paraId="5A0A6DCF" w14:textId="77777777" w:rsidR="00C14213" w:rsidRPr="00BC62AE" w:rsidRDefault="00C14213" w:rsidP="00C14213">
      <w:pPr>
        <w:spacing w:after="120"/>
        <w:jc w:val="both"/>
      </w:pPr>
      <w:r w:rsidRPr="00BC62AE">
        <w:t>Не са използвани средства, предвидени за покриване на риска от активиране на държавни гаранции.</w:t>
      </w:r>
    </w:p>
    <w:p w14:paraId="5D23726B" w14:textId="77777777" w:rsidR="00C14213" w:rsidRPr="0034443F" w:rsidRDefault="00C14213" w:rsidP="00C14213">
      <w:pPr>
        <w:spacing w:after="60"/>
        <w:jc w:val="both"/>
      </w:pPr>
      <w:r w:rsidRPr="0034443F">
        <w:t xml:space="preserve">Операции с </w:t>
      </w:r>
      <w:r w:rsidRPr="0034443F">
        <w:rPr>
          <w:b/>
        </w:rPr>
        <w:t xml:space="preserve">държавни ценни книжа </w:t>
      </w:r>
      <w:r w:rsidRPr="0034443F">
        <w:t xml:space="preserve">по централния бюджет </w:t>
      </w:r>
      <w:r w:rsidRPr="0034443F">
        <w:rPr>
          <w:b/>
        </w:rPr>
        <w:t>(позиция във вътрешното финансиране):</w:t>
      </w:r>
      <w:r w:rsidRPr="0034443F">
        <w:t xml:space="preserve"> Към 30 юни 2023 г. не са провеждани аукциони на емисии ДЦК за финансиране на бюджета, както и няма извършени погашения по вътрешния дълг.</w:t>
      </w:r>
    </w:p>
    <w:p w14:paraId="68DF9049" w14:textId="77777777" w:rsidR="0004753C" w:rsidRPr="002C12D9" w:rsidRDefault="0004753C" w:rsidP="00ED2B9A">
      <w:pPr>
        <w:pStyle w:val="Heading1"/>
        <w:numPr>
          <w:ilvl w:val="1"/>
          <w:numId w:val="9"/>
        </w:numPr>
        <w:spacing w:before="240" w:after="120"/>
        <w:ind w:right="-108" w:hanging="357"/>
        <w:jc w:val="both"/>
        <w:rPr>
          <w:sz w:val="24"/>
        </w:rPr>
      </w:pPr>
      <w:r w:rsidRPr="002C12D9">
        <w:rPr>
          <w:sz w:val="24"/>
        </w:rPr>
        <w:t>Бюджет на съдебната власт</w:t>
      </w:r>
    </w:p>
    <w:p w14:paraId="63AF3BED" w14:textId="6A4534E0" w:rsidR="002763DB" w:rsidRPr="0055349C" w:rsidRDefault="002763DB" w:rsidP="00B5493B">
      <w:pPr>
        <w:jc w:val="both"/>
        <w:rPr>
          <w:color w:val="0070C0"/>
        </w:rPr>
      </w:pPr>
      <w:r w:rsidRPr="002C12D9">
        <w:t xml:space="preserve">За </w:t>
      </w:r>
      <w:r w:rsidR="002C12D9" w:rsidRPr="002C12D9">
        <w:t>първите шест месеца</w:t>
      </w:r>
      <w:r w:rsidR="00337851" w:rsidRPr="002C12D9">
        <w:t xml:space="preserve"> </w:t>
      </w:r>
      <w:r w:rsidRPr="002C12D9">
        <w:t>на 202</w:t>
      </w:r>
      <w:r w:rsidR="00337851" w:rsidRPr="002C12D9">
        <w:t>3</w:t>
      </w:r>
      <w:r w:rsidRPr="002C12D9">
        <w:t xml:space="preserve"> г.</w:t>
      </w:r>
      <w:r w:rsidR="00337851" w:rsidRPr="002C12D9">
        <w:t xml:space="preserve"> по бюджета на съдебната власт</w:t>
      </w:r>
      <w:r w:rsidRPr="002C12D9">
        <w:t xml:space="preserve"> са отчетени </w:t>
      </w:r>
      <w:r w:rsidRPr="002C12D9">
        <w:rPr>
          <w:b/>
        </w:rPr>
        <w:t>приходи</w:t>
      </w:r>
      <w:r w:rsidRPr="002C12D9">
        <w:t xml:space="preserve"> в размер на </w:t>
      </w:r>
      <w:r w:rsidR="002C12D9" w:rsidRPr="002C12D9">
        <w:t>47</w:t>
      </w:r>
      <w:r w:rsidR="00690B2B" w:rsidRPr="002C12D9">
        <w:t>,</w:t>
      </w:r>
      <w:r w:rsidR="002C12D9" w:rsidRPr="002C12D9">
        <w:t>3</w:t>
      </w:r>
      <w:r w:rsidRPr="002C12D9">
        <w:t xml:space="preserve"> млн</w:t>
      </w:r>
      <w:r w:rsidR="00337851" w:rsidRPr="002C12D9">
        <w:t>. лв.</w:t>
      </w:r>
      <w:r w:rsidRPr="002C12D9">
        <w:t xml:space="preserve">, от които </w:t>
      </w:r>
      <w:r w:rsidR="002C12D9" w:rsidRPr="002C12D9">
        <w:t>39</w:t>
      </w:r>
      <w:r w:rsidR="00690B2B" w:rsidRPr="002C12D9">
        <w:t>,</w:t>
      </w:r>
      <w:r w:rsidR="002C12D9" w:rsidRPr="002C12D9">
        <w:t>7</w:t>
      </w:r>
      <w:r w:rsidR="00074744" w:rsidRPr="002C12D9">
        <w:t> </w:t>
      </w:r>
      <w:r w:rsidRPr="002C12D9">
        <w:t xml:space="preserve">млн. лв. - приходи от съдебни такси. За сравнение, към </w:t>
      </w:r>
      <w:r w:rsidR="00074744" w:rsidRPr="002C12D9">
        <w:t>3</w:t>
      </w:r>
      <w:r w:rsidR="002C12D9" w:rsidRPr="002C12D9">
        <w:t>0</w:t>
      </w:r>
      <w:r w:rsidRPr="002C12D9">
        <w:t>.</w:t>
      </w:r>
      <w:r w:rsidR="00074744" w:rsidRPr="002C12D9">
        <w:t>0</w:t>
      </w:r>
      <w:r w:rsidR="002C12D9" w:rsidRPr="002C12D9">
        <w:t>6</w:t>
      </w:r>
      <w:r w:rsidRPr="002C12D9">
        <w:t>.202</w:t>
      </w:r>
      <w:r w:rsidR="00337851" w:rsidRPr="002C12D9">
        <w:t>2 </w:t>
      </w:r>
      <w:r w:rsidRPr="002C12D9">
        <w:t xml:space="preserve">г. са отчетени общо приходи в размер на </w:t>
      </w:r>
      <w:r w:rsidR="002C12D9" w:rsidRPr="002C12D9">
        <w:t>51</w:t>
      </w:r>
      <w:r w:rsidR="00690B2B" w:rsidRPr="002C12D9">
        <w:t>,</w:t>
      </w:r>
      <w:r w:rsidR="002C12D9" w:rsidRPr="002C12D9">
        <w:t>6</w:t>
      </w:r>
      <w:r w:rsidR="00337851" w:rsidRPr="002C12D9">
        <w:t xml:space="preserve"> млн. лв.</w:t>
      </w:r>
      <w:r w:rsidRPr="002C12D9">
        <w:t xml:space="preserve">, от които </w:t>
      </w:r>
      <w:r w:rsidR="002C12D9" w:rsidRPr="002C12D9">
        <w:t>44</w:t>
      </w:r>
      <w:r w:rsidR="00690B2B" w:rsidRPr="002C12D9">
        <w:t>,</w:t>
      </w:r>
      <w:r w:rsidR="002C12D9" w:rsidRPr="002C12D9">
        <w:t>2</w:t>
      </w:r>
      <w:r w:rsidRPr="002C12D9">
        <w:t xml:space="preserve"> млн. лв. - приходи от съдебни такси.</w:t>
      </w:r>
    </w:p>
    <w:p w14:paraId="549AD328" w14:textId="0901ED07" w:rsidR="002763DB" w:rsidRPr="008F1CA8" w:rsidRDefault="002763DB" w:rsidP="00B5493B">
      <w:pPr>
        <w:tabs>
          <w:tab w:val="left" w:pos="90"/>
        </w:tabs>
        <w:spacing w:before="120"/>
        <w:jc w:val="both"/>
      </w:pPr>
      <w:r w:rsidRPr="002C12D9">
        <w:rPr>
          <w:b/>
        </w:rPr>
        <w:t xml:space="preserve">Разходите </w:t>
      </w:r>
      <w:r w:rsidRPr="002C12D9">
        <w:t>по бюджета на съдебната власт</w:t>
      </w:r>
      <w:r w:rsidRPr="002C12D9">
        <w:rPr>
          <w:b/>
        </w:rPr>
        <w:t xml:space="preserve"> </w:t>
      </w:r>
      <w:r w:rsidRPr="002C12D9">
        <w:t xml:space="preserve">към </w:t>
      </w:r>
      <w:r w:rsidR="00074744" w:rsidRPr="002C12D9">
        <w:t>3</w:t>
      </w:r>
      <w:r w:rsidR="002C12D9" w:rsidRPr="002C12D9">
        <w:t>0</w:t>
      </w:r>
      <w:r w:rsidRPr="002C12D9">
        <w:t>.</w:t>
      </w:r>
      <w:r w:rsidR="00074744" w:rsidRPr="002C12D9">
        <w:t>0</w:t>
      </w:r>
      <w:r w:rsidR="002C12D9" w:rsidRPr="002C12D9">
        <w:t>6</w:t>
      </w:r>
      <w:r w:rsidRPr="002C12D9">
        <w:t>.202</w:t>
      </w:r>
      <w:r w:rsidR="00337851" w:rsidRPr="002C12D9">
        <w:t>3</w:t>
      </w:r>
      <w:r w:rsidRPr="002C12D9">
        <w:t xml:space="preserve"> г.</w:t>
      </w:r>
      <w:r w:rsidRPr="002C12D9">
        <w:rPr>
          <w:b/>
        </w:rPr>
        <w:t xml:space="preserve"> </w:t>
      </w:r>
      <w:r w:rsidRPr="002C12D9">
        <w:t>са в разме</w:t>
      </w:r>
      <w:r w:rsidRPr="001C0277">
        <w:t xml:space="preserve">р на </w:t>
      </w:r>
      <w:r w:rsidR="001C0277" w:rsidRPr="001C0277">
        <w:t>466</w:t>
      </w:r>
      <w:r w:rsidR="00B369D3" w:rsidRPr="001C0277">
        <w:t>,</w:t>
      </w:r>
      <w:r w:rsidR="001C0277" w:rsidRPr="001C0277">
        <w:t>5</w:t>
      </w:r>
      <w:r w:rsidRPr="001C0277">
        <w:t xml:space="preserve"> млн. лв.</w:t>
      </w:r>
      <w:r w:rsidR="00337851" w:rsidRPr="001C0277">
        <w:t>,</w:t>
      </w:r>
      <w:r w:rsidRPr="001C0277">
        <w:t xml:space="preserve"> </w:t>
      </w:r>
      <w:r w:rsidR="00337851" w:rsidRPr="001C0277">
        <w:t xml:space="preserve">като с най-голям относителен дял от отчетените разходи са тези за персонал </w:t>
      </w:r>
      <w:r w:rsidR="001C0277" w:rsidRPr="001C0277">
        <w:t>– 90,5 % (422,1</w:t>
      </w:r>
      <w:r w:rsidR="00337851" w:rsidRPr="001C0277">
        <w:t xml:space="preserve"> млн. лв.). </w:t>
      </w:r>
      <w:r w:rsidRPr="008F1CA8">
        <w:t>За сравнение, през същия период на 202</w:t>
      </w:r>
      <w:r w:rsidR="00337851" w:rsidRPr="008F1CA8">
        <w:t>2</w:t>
      </w:r>
      <w:r w:rsidRPr="008F1CA8">
        <w:t xml:space="preserve"> г. са отчетени </w:t>
      </w:r>
      <w:r w:rsidR="001C0277" w:rsidRPr="008F1CA8">
        <w:t xml:space="preserve">общо </w:t>
      </w:r>
      <w:r w:rsidRPr="008F1CA8">
        <w:t xml:space="preserve">разходи в размер </w:t>
      </w:r>
      <w:r w:rsidR="001C0277" w:rsidRPr="008F1CA8">
        <w:t>455</w:t>
      </w:r>
      <w:r w:rsidR="00C57040" w:rsidRPr="008F1CA8">
        <w:t>,</w:t>
      </w:r>
      <w:r w:rsidR="001C0277" w:rsidRPr="008F1CA8">
        <w:t>0</w:t>
      </w:r>
      <w:r w:rsidRPr="008F1CA8">
        <w:t xml:space="preserve"> млн. л</w:t>
      </w:r>
      <w:r w:rsidR="00D7249D" w:rsidRPr="008F1CA8">
        <w:t>е</w:t>
      </w:r>
      <w:r w:rsidRPr="008F1CA8">
        <w:t>в</w:t>
      </w:r>
      <w:r w:rsidR="00D7249D" w:rsidRPr="008F1CA8">
        <w:t>а</w:t>
      </w:r>
      <w:r w:rsidRPr="008F1CA8">
        <w:t>.</w:t>
      </w:r>
    </w:p>
    <w:p w14:paraId="52A37A20" w14:textId="56BF7158" w:rsidR="00F521AA" w:rsidRPr="00E67B43" w:rsidRDefault="00F521AA" w:rsidP="00ED2B9A">
      <w:pPr>
        <w:pStyle w:val="Heading1"/>
        <w:numPr>
          <w:ilvl w:val="0"/>
          <w:numId w:val="9"/>
        </w:numPr>
        <w:tabs>
          <w:tab w:val="left" w:pos="90"/>
          <w:tab w:val="left" w:pos="993"/>
        </w:tabs>
        <w:spacing w:before="240" w:after="120"/>
        <w:ind w:left="0" w:right="-108" w:firstLine="567"/>
        <w:jc w:val="both"/>
        <w:rPr>
          <w:sz w:val="24"/>
        </w:rPr>
      </w:pPr>
      <w:r w:rsidRPr="00E67B43">
        <w:rPr>
          <w:sz w:val="24"/>
        </w:rPr>
        <w:t xml:space="preserve">Сметки за средства от ЕС на Разплащателната агенция към ДФ „Земеделие“ и на Националния фонд към Министерството на финансите </w:t>
      </w:r>
    </w:p>
    <w:p w14:paraId="6490FA3C" w14:textId="2862E6CF" w:rsidR="00F521AA" w:rsidRPr="00E67B43" w:rsidRDefault="00F521AA" w:rsidP="00ED2B9A">
      <w:pPr>
        <w:pStyle w:val="Heading1"/>
        <w:numPr>
          <w:ilvl w:val="1"/>
          <w:numId w:val="9"/>
        </w:numPr>
        <w:tabs>
          <w:tab w:val="left" w:pos="90"/>
          <w:tab w:val="left" w:pos="993"/>
        </w:tabs>
        <w:spacing w:after="120"/>
        <w:ind w:left="0" w:right="-108" w:firstLine="567"/>
        <w:jc w:val="both"/>
        <w:rPr>
          <w:sz w:val="24"/>
        </w:rPr>
      </w:pPr>
      <w:r w:rsidRPr="00E67B43">
        <w:rPr>
          <w:sz w:val="24"/>
        </w:rPr>
        <w:t xml:space="preserve"> Сметка за Европейски средства на Разплащателна агенция </w:t>
      </w:r>
      <w:r w:rsidR="00924745" w:rsidRPr="00E67B43">
        <w:rPr>
          <w:sz w:val="24"/>
        </w:rPr>
        <w:t xml:space="preserve">ДФ „Земеделие“ </w:t>
      </w:r>
      <w:r w:rsidRPr="00E67B43">
        <w:rPr>
          <w:sz w:val="24"/>
        </w:rPr>
        <w:t xml:space="preserve"> </w:t>
      </w:r>
    </w:p>
    <w:p w14:paraId="37500243" w14:textId="77777777" w:rsidR="00063CF1" w:rsidRPr="00E67B43" w:rsidRDefault="00063CF1" w:rsidP="00ED2B9A">
      <w:pPr>
        <w:numPr>
          <w:ilvl w:val="0"/>
          <w:numId w:val="20"/>
        </w:numPr>
        <w:tabs>
          <w:tab w:val="left" w:pos="90"/>
          <w:tab w:val="num" w:pos="540"/>
        </w:tabs>
        <w:spacing w:before="120" w:after="120" w:line="276" w:lineRule="auto"/>
        <w:ind w:left="0" w:firstLine="567"/>
        <w:contextualSpacing/>
        <w:jc w:val="both"/>
        <w:rPr>
          <w:b/>
          <w:lang w:eastAsia="bg-BG"/>
        </w:rPr>
      </w:pPr>
      <w:r w:rsidRPr="00E67B43">
        <w:rPr>
          <w:b/>
          <w:lang w:eastAsia="bg-BG"/>
        </w:rPr>
        <w:t>Приходи</w:t>
      </w:r>
    </w:p>
    <w:p w14:paraId="1E6A67BA" w14:textId="77777777" w:rsidR="00AE2AD5" w:rsidRPr="00E26AFD" w:rsidRDefault="00AE2AD5" w:rsidP="00AE2AD5">
      <w:pPr>
        <w:numPr>
          <w:ilvl w:val="0"/>
          <w:numId w:val="20"/>
        </w:numPr>
        <w:spacing w:before="120" w:after="120" w:line="276" w:lineRule="auto"/>
        <w:ind w:left="780"/>
        <w:contextualSpacing/>
        <w:jc w:val="both"/>
        <w:rPr>
          <w:b/>
          <w:lang w:eastAsia="bg-BG"/>
        </w:rPr>
      </w:pPr>
      <w:r w:rsidRPr="00E26AFD">
        <w:rPr>
          <w:b/>
          <w:lang w:eastAsia="bg-BG"/>
        </w:rPr>
        <w:t>Приходи</w:t>
      </w:r>
    </w:p>
    <w:p w14:paraId="731A09E2" w14:textId="77777777" w:rsidR="00AE2AD5" w:rsidRPr="00E26AFD" w:rsidRDefault="00AE2AD5" w:rsidP="00AE2AD5">
      <w:pPr>
        <w:ind w:firstLine="708"/>
        <w:jc w:val="both"/>
      </w:pPr>
      <w:r w:rsidRPr="00E26AFD">
        <w:t>Към 30.06.2023</w:t>
      </w:r>
      <w:r>
        <w:t xml:space="preserve"> </w:t>
      </w:r>
      <w:r w:rsidRPr="00E26AFD">
        <w:t>г. по отчетни данни, постъпленията са в размер на 174,1 млн.</w:t>
      </w:r>
      <w:r>
        <w:t xml:space="preserve"> </w:t>
      </w:r>
      <w:r w:rsidRPr="00E26AFD">
        <w:t>л</w:t>
      </w:r>
      <w:r>
        <w:t>е</w:t>
      </w:r>
      <w:r w:rsidRPr="00E26AFD">
        <w:t>в</w:t>
      </w:r>
      <w:r>
        <w:t>а</w:t>
      </w:r>
      <w:r w:rsidRPr="00E26AFD">
        <w:t xml:space="preserve">. </w:t>
      </w:r>
    </w:p>
    <w:p w14:paraId="48FA0F99" w14:textId="77777777" w:rsidR="00AE2AD5" w:rsidRPr="00E26AFD" w:rsidRDefault="00AE2AD5" w:rsidP="00AE2AD5">
      <w:pPr>
        <w:tabs>
          <w:tab w:val="left" w:pos="709"/>
        </w:tabs>
        <w:jc w:val="both"/>
      </w:pPr>
      <w:r w:rsidRPr="00E26AFD">
        <w:tab/>
        <w:t>Приходната част е формирана от приходи от наказателни лихви, помощи и дарения от чужбина и коректив на касови постъпления, както следва:</w:t>
      </w:r>
    </w:p>
    <w:p w14:paraId="3C353B05" w14:textId="77777777" w:rsidR="00AE2AD5" w:rsidRPr="00E26AFD" w:rsidRDefault="00AE2AD5" w:rsidP="00AE2AD5">
      <w:pPr>
        <w:numPr>
          <w:ilvl w:val="0"/>
          <w:numId w:val="19"/>
        </w:numPr>
        <w:tabs>
          <w:tab w:val="left" w:pos="993"/>
        </w:tabs>
        <w:spacing w:before="120" w:after="120"/>
        <w:ind w:left="1321" w:hanging="612"/>
        <w:jc w:val="both"/>
        <w:rPr>
          <w:b/>
          <w:i/>
        </w:rPr>
      </w:pPr>
      <w:r w:rsidRPr="00E26AFD">
        <w:rPr>
          <w:b/>
          <w:i/>
        </w:rPr>
        <w:t>Приходи от наказателни лихви</w:t>
      </w:r>
    </w:p>
    <w:p w14:paraId="612611DF" w14:textId="77777777" w:rsidR="00AE2AD5" w:rsidRPr="00E26AFD" w:rsidRDefault="00AE2AD5" w:rsidP="00AE2AD5">
      <w:pPr>
        <w:jc w:val="both"/>
      </w:pPr>
      <w:r w:rsidRPr="00E26AFD">
        <w:tab/>
        <w:t>Към края на първото полугодие на 2023</w:t>
      </w:r>
      <w:r>
        <w:t xml:space="preserve"> </w:t>
      </w:r>
      <w:r w:rsidRPr="00E26AFD">
        <w:t>г. са отчетени приходи от получени наказателни лихви, свързани с вземания за възстановяване на средства от ЕК в размер на    0,3 млн.</w:t>
      </w:r>
      <w:r>
        <w:t xml:space="preserve"> </w:t>
      </w:r>
      <w:r w:rsidRPr="00E26AFD">
        <w:t>л</w:t>
      </w:r>
      <w:r>
        <w:t>е</w:t>
      </w:r>
      <w:r w:rsidRPr="00E26AFD">
        <w:t>в</w:t>
      </w:r>
      <w:r>
        <w:t>а</w:t>
      </w:r>
      <w:r w:rsidRPr="00E26AFD">
        <w:t>.</w:t>
      </w:r>
    </w:p>
    <w:p w14:paraId="0C8876CD" w14:textId="77777777" w:rsidR="00AE2AD5" w:rsidRPr="00E26AFD" w:rsidRDefault="00AE2AD5" w:rsidP="00AE2AD5">
      <w:pPr>
        <w:numPr>
          <w:ilvl w:val="0"/>
          <w:numId w:val="19"/>
        </w:numPr>
        <w:tabs>
          <w:tab w:val="left" w:pos="993"/>
        </w:tabs>
        <w:spacing w:before="120" w:after="120"/>
        <w:ind w:left="1321" w:hanging="612"/>
        <w:jc w:val="both"/>
        <w:rPr>
          <w:b/>
          <w:i/>
        </w:rPr>
      </w:pPr>
      <w:r w:rsidRPr="00E26AFD">
        <w:rPr>
          <w:b/>
          <w:i/>
        </w:rPr>
        <w:t>Текущи помощи и дарения от Европейския съюз</w:t>
      </w:r>
    </w:p>
    <w:p w14:paraId="6A424154" w14:textId="77777777" w:rsidR="00AE2AD5" w:rsidRPr="00E26AFD" w:rsidRDefault="00AE2AD5" w:rsidP="00AE2AD5">
      <w:pPr>
        <w:ind w:firstLine="708"/>
        <w:jc w:val="both"/>
      </w:pPr>
      <w:r w:rsidRPr="00E26AFD">
        <w:t>Общият размер на получените приходи, отчетени в „Текущи помощи и дарения от Европейския съюз“, към 30.06.2023</w:t>
      </w:r>
      <w:r>
        <w:t xml:space="preserve"> </w:t>
      </w:r>
      <w:r w:rsidRPr="00E26AFD">
        <w:t>г. е 30</w:t>
      </w:r>
      <w:r>
        <w:t>,0</w:t>
      </w:r>
      <w:r w:rsidRPr="00E26AFD">
        <w:t xml:space="preserve"> млн.</w:t>
      </w:r>
      <w:r>
        <w:t xml:space="preserve"> </w:t>
      </w:r>
      <w:r w:rsidRPr="00E26AFD">
        <w:t>л</w:t>
      </w:r>
      <w:r>
        <w:t>е</w:t>
      </w:r>
      <w:r w:rsidRPr="00E26AFD">
        <w:t>в</w:t>
      </w:r>
      <w:r>
        <w:t>а</w:t>
      </w:r>
      <w:r w:rsidRPr="00E26AFD">
        <w:t xml:space="preserve">. </w:t>
      </w:r>
    </w:p>
    <w:p w14:paraId="0AD12FD3" w14:textId="77777777" w:rsidR="00AE2AD5" w:rsidRPr="00E26AFD" w:rsidRDefault="00AE2AD5" w:rsidP="00AE2AD5">
      <w:pPr>
        <w:jc w:val="both"/>
      </w:pPr>
      <w:r w:rsidRPr="00E26AFD">
        <w:tab/>
        <w:t>Получените текущи приходи от възстановяване на средства от Европейски земеделски фонд за развитие на селските райони (ЕЗФРСР) по линия на Програмата за развитие на селските райони (ПРСР)</w:t>
      </w:r>
      <w:r>
        <w:t>,</w:t>
      </w:r>
      <w:r w:rsidRPr="00E26AFD">
        <w:t xml:space="preserve"> без директни плащания</w:t>
      </w:r>
      <w:r>
        <w:t>,</w:t>
      </w:r>
      <w:r w:rsidRPr="00E26AFD">
        <w:t xml:space="preserve"> към 30.06.2023г. възлизат на 24,4 млн.</w:t>
      </w:r>
      <w:r>
        <w:t xml:space="preserve"> </w:t>
      </w:r>
      <w:r w:rsidRPr="00E26AFD">
        <w:t>л</w:t>
      </w:r>
      <w:r>
        <w:t>е</w:t>
      </w:r>
      <w:r w:rsidRPr="00E26AFD">
        <w:t>в</w:t>
      </w:r>
      <w:r>
        <w:t>а</w:t>
      </w:r>
      <w:r w:rsidRPr="00E26AFD">
        <w:t xml:space="preserve">. </w:t>
      </w:r>
    </w:p>
    <w:p w14:paraId="1624723E" w14:textId="77777777" w:rsidR="00AE2AD5" w:rsidRPr="00E26AFD" w:rsidRDefault="00AE2AD5" w:rsidP="00AE2AD5">
      <w:pPr>
        <w:ind w:firstLine="708"/>
        <w:jc w:val="both"/>
      </w:pPr>
      <w:r w:rsidRPr="00E26AFD">
        <w:t>Получените текущи приходи от възстановяване на средства по линия на схемите „Училищен плод“ и „Училищно мляко“ от Европейски фонд за гарантиране на земеделието (ЕФГЗ) към 30.06.2023</w:t>
      </w:r>
      <w:r>
        <w:t xml:space="preserve"> </w:t>
      </w:r>
      <w:r w:rsidRPr="00E26AFD">
        <w:t>г. са 3,5 млн.</w:t>
      </w:r>
      <w:r>
        <w:t xml:space="preserve"> </w:t>
      </w:r>
      <w:r w:rsidRPr="00E26AFD">
        <w:t>л</w:t>
      </w:r>
      <w:r>
        <w:t>е</w:t>
      </w:r>
      <w:r w:rsidRPr="00E26AFD">
        <w:t>в</w:t>
      </w:r>
      <w:r>
        <w:t>а</w:t>
      </w:r>
      <w:r w:rsidRPr="00E26AFD">
        <w:t>.</w:t>
      </w:r>
    </w:p>
    <w:p w14:paraId="0F3F7E08" w14:textId="77777777" w:rsidR="00AE2AD5" w:rsidRPr="00E26AFD" w:rsidRDefault="00AE2AD5" w:rsidP="00AE2AD5">
      <w:pPr>
        <w:jc w:val="both"/>
      </w:pPr>
      <w:r w:rsidRPr="00E26AFD">
        <w:tab/>
        <w:t>За периода 01.01-30.06.2023г. са получени 2,1 млн.</w:t>
      </w:r>
      <w:r>
        <w:t xml:space="preserve"> </w:t>
      </w:r>
      <w:r w:rsidRPr="00E26AFD">
        <w:t>лв. текущи приходи, възстановени средства от Европейския фонд за морско дело и рибарство (ЕФМДР).</w:t>
      </w:r>
    </w:p>
    <w:p w14:paraId="11D2B3A7" w14:textId="77777777" w:rsidR="00AE2AD5" w:rsidRPr="00E26AFD" w:rsidRDefault="00AE2AD5" w:rsidP="00AE2AD5">
      <w:pPr>
        <w:numPr>
          <w:ilvl w:val="0"/>
          <w:numId w:val="19"/>
        </w:numPr>
        <w:tabs>
          <w:tab w:val="left" w:pos="993"/>
        </w:tabs>
        <w:spacing w:before="120" w:after="120"/>
        <w:ind w:left="1321" w:hanging="612"/>
        <w:jc w:val="both"/>
        <w:rPr>
          <w:b/>
          <w:i/>
          <w:lang w:eastAsia="bg-BG"/>
        </w:rPr>
      </w:pPr>
      <w:r w:rsidRPr="00E26AFD">
        <w:rPr>
          <w:b/>
          <w:i/>
          <w:lang w:eastAsia="bg-BG"/>
        </w:rPr>
        <w:t>Капиталови помощи и дарения от Европейския съюз</w:t>
      </w:r>
    </w:p>
    <w:p w14:paraId="5B42D0BA" w14:textId="77777777" w:rsidR="00AE2AD5" w:rsidRPr="00E26AFD" w:rsidRDefault="00AE2AD5" w:rsidP="00AE2AD5">
      <w:pPr>
        <w:jc w:val="both"/>
      </w:pPr>
      <w:r w:rsidRPr="00E26AFD">
        <w:rPr>
          <w:color w:val="0070C0"/>
          <w:lang w:eastAsia="bg-BG"/>
        </w:rPr>
        <w:tab/>
      </w:r>
      <w:r w:rsidRPr="00E26AFD">
        <w:t>Общият размер на получените приходи, отчетени в „Капиталови помощи и дарения от Европейския съюз“ към 30.06.2023</w:t>
      </w:r>
      <w:r>
        <w:t xml:space="preserve"> </w:t>
      </w:r>
      <w:r w:rsidRPr="00E26AFD">
        <w:t>г. е 148 млн.</w:t>
      </w:r>
      <w:r>
        <w:t xml:space="preserve"> </w:t>
      </w:r>
      <w:r w:rsidRPr="00E26AFD">
        <w:t>л</w:t>
      </w:r>
      <w:r>
        <w:t>е</w:t>
      </w:r>
      <w:r w:rsidRPr="00E26AFD">
        <w:t>в</w:t>
      </w:r>
      <w:r>
        <w:t>а</w:t>
      </w:r>
      <w:r w:rsidRPr="00E26AFD">
        <w:t>.</w:t>
      </w:r>
    </w:p>
    <w:p w14:paraId="2D4E5F37" w14:textId="77777777" w:rsidR="00AE2AD5" w:rsidRPr="00E26AFD" w:rsidRDefault="00AE2AD5" w:rsidP="00AE2AD5">
      <w:pPr>
        <w:jc w:val="both"/>
      </w:pPr>
      <w:r w:rsidRPr="00E26AFD">
        <w:tab/>
        <w:t>Получените капиталови приходи от ЕЗФРСР към края на м.</w:t>
      </w:r>
      <w:r>
        <w:t xml:space="preserve"> юни </w:t>
      </w:r>
      <w:r w:rsidRPr="00E26AFD">
        <w:t>2023</w:t>
      </w:r>
      <w:r>
        <w:t xml:space="preserve"> </w:t>
      </w:r>
      <w:r w:rsidRPr="00E26AFD">
        <w:t>г. са 144,9 млн.</w:t>
      </w:r>
      <w:r>
        <w:t xml:space="preserve"> </w:t>
      </w:r>
      <w:r w:rsidRPr="00E26AFD">
        <w:t>лв., от които 27,6 млн.</w:t>
      </w:r>
      <w:r>
        <w:t xml:space="preserve"> </w:t>
      </w:r>
      <w:r w:rsidRPr="00E26AFD">
        <w:t xml:space="preserve">лв. са аванс по линия на </w:t>
      </w:r>
      <w:r w:rsidRPr="00E26AFD">
        <w:rPr>
          <w:lang w:eastAsia="bg-BG"/>
        </w:rPr>
        <w:t xml:space="preserve">Стратегическия План по ОСП 2023-2027. Капиталовите приходи </w:t>
      </w:r>
      <w:r>
        <w:rPr>
          <w:lang w:eastAsia="bg-BG"/>
        </w:rPr>
        <w:t>от</w:t>
      </w:r>
      <w:r w:rsidRPr="00E26AFD">
        <w:rPr>
          <w:lang w:eastAsia="bg-BG"/>
        </w:rPr>
        <w:t xml:space="preserve"> </w:t>
      </w:r>
      <w:r w:rsidRPr="00E26AFD">
        <w:t>фонд ЕФМДР за полугодието са 2,2 млн.</w:t>
      </w:r>
      <w:r>
        <w:t xml:space="preserve"> </w:t>
      </w:r>
      <w:r w:rsidRPr="00E26AFD">
        <w:t>л</w:t>
      </w:r>
      <w:r>
        <w:t>е</w:t>
      </w:r>
      <w:r w:rsidRPr="00E26AFD">
        <w:t>в</w:t>
      </w:r>
      <w:r>
        <w:t>а</w:t>
      </w:r>
      <w:r w:rsidRPr="00E26AFD">
        <w:t>. Отчетени са и 0,8 млн.</w:t>
      </w:r>
      <w:r>
        <w:t xml:space="preserve"> </w:t>
      </w:r>
      <w:r w:rsidRPr="00E26AFD">
        <w:t>лв. получен</w:t>
      </w:r>
      <w:r>
        <w:t>и</w:t>
      </w:r>
      <w:r w:rsidRPr="00E26AFD">
        <w:t xml:space="preserve"> аванс</w:t>
      </w:r>
      <w:r>
        <w:t>ови средства</w:t>
      </w:r>
      <w:r w:rsidRPr="00E26AFD">
        <w:t xml:space="preserve"> по Програмата за морско дело, рибарство и аквакултури 2021-2027</w:t>
      </w:r>
      <w:r>
        <w:t xml:space="preserve"> </w:t>
      </w:r>
      <w:r w:rsidRPr="00E26AFD">
        <w:t>г. (ПМДРА)</w:t>
      </w:r>
    </w:p>
    <w:p w14:paraId="32A78D2F" w14:textId="77777777" w:rsidR="00AE2AD5" w:rsidRPr="00E26AFD" w:rsidRDefault="00AE2AD5" w:rsidP="00AE2AD5">
      <w:pPr>
        <w:numPr>
          <w:ilvl w:val="0"/>
          <w:numId w:val="19"/>
        </w:numPr>
        <w:tabs>
          <w:tab w:val="left" w:pos="993"/>
        </w:tabs>
        <w:spacing w:before="120" w:after="120"/>
        <w:ind w:left="1321" w:hanging="612"/>
        <w:jc w:val="both"/>
        <w:rPr>
          <w:b/>
          <w:i/>
        </w:rPr>
      </w:pPr>
      <w:r w:rsidRPr="00E26AFD">
        <w:rPr>
          <w:b/>
          <w:i/>
        </w:rPr>
        <w:t xml:space="preserve">Коректив на касови постъпления </w:t>
      </w:r>
    </w:p>
    <w:p w14:paraId="60E0137F" w14:textId="77777777" w:rsidR="00AE2AD5" w:rsidRPr="00E26AFD" w:rsidRDefault="00AE2AD5" w:rsidP="00AE2AD5">
      <w:pPr>
        <w:spacing w:before="120" w:after="120"/>
        <w:jc w:val="both"/>
        <w:rPr>
          <w:bCs/>
          <w:iCs/>
        </w:rPr>
      </w:pPr>
      <w:r w:rsidRPr="00E26AFD">
        <w:rPr>
          <w:bCs/>
          <w:iCs/>
        </w:rPr>
        <w:tab/>
        <w:t>Към 30.06.2023</w:t>
      </w:r>
      <w:r>
        <w:rPr>
          <w:bCs/>
          <w:iCs/>
        </w:rPr>
        <w:t xml:space="preserve"> </w:t>
      </w:r>
      <w:r w:rsidRPr="00E26AFD">
        <w:rPr>
          <w:bCs/>
          <w:iCs/>
        </w:rPr>
        <w:t>г. отчетеният коректив на касови постъпления е минус 4,2 млн.</w:t>
      </w:r>
      <w:r>
        <w:rPr>
          <w:bCs/>
          <w:iCs/>
        </w:rPr>
        <w:t xml:space="preserve"> </w:t>
      </w:r>
      <w:r w:rsidRPr="00E26AFD">
        <w:rPr>
          <w:bCs/>
          <w:iCs/>
        </w:rPr>
        <w:t>л</w:t>
      </w:r>
      <w:r>
        <w:rPr>
          <w:bCs/>
          <w:iCs/>
        </w:rPr>
        <w:t>е</w:t>
      </w:r>
      <w:r w:rsidRPr="00E26AFD">
        <w:rPr>
          <w:bCs/>
          <w:iCs/>
        </w:rPr>
        <w:t>в</w:t>
      </w:r>
      <w:r>
        <w:rPr>
          <w:bCs/>
          <w:iCs/>
        </w:rPr>
        <w:t>а</w:t>
      </w:r>
      <w:r w:rsidRPr="00E26AFD">
        <w:rPr>
          <w:bCs/>
          <w:iCs/>
        </w:rPr>
        <w:t>. Той е формиран от размера на принудително събрани суми от НАП, за които не е извършен превод на средства по сметката на ДФЗ-РА.</w:t>
      </w:r>
    </w:p>
    <w:p w14:paraId="0F58DDA9" w14:textId="77777777" w:rsidR="00AE2AD5" w:rsidRPr="00E26AFD" w:rsidRDefault="00AE2AD5" w:rsidP="00AE2AD5">
      <w:pPr>
        <w:numPr>
          <w:ilvl w:val="0"/>
          <w:numId w:val="20"/>
        </w:numPr>
        <w:spacing w:before="120" w:after="120" w:line="276" w:lineRule="auto"/>
        <w:ind w:left="780"/>
        <w:contextualSpacing/>
        <w:jc w:val="both"/>
        <w:rPr>
          <w:b/>
          <w:lang w:eastAsia="bg-BG"/>
        </w:rPr>
      </w:pPr>
      <w:r w:rsidRPr="00E26AFD">
        <w:rPr>
          <w:b/>
          <w:lang w:eastAsia="bg-BG"/>
        </w:rPr>
        <w:t xml:space="preserve">Разходи </w:t>
      </w:r>
    </w:p>
    <w:p w14:paraId="5F3C4CCC" w14:textId="77777777" w:rsidR="00AE2AD5" w:rsidRPr="00E26AFD" w:rsidRDefault="00AE2AD5" w:rsidP="00AE2AD5">
      <w:pPr>
        <w:jc w:val="both"/>
      </w:pPr>
      <w:r w:rsidRPr="00E26AFD">
        <w:tab/>
        <w:t xml:space="preserve"> </w:t>
      </w:r>
      <w:r w:rsidRPr="00E26AFD">
        <w:rPr>
          <w:szCs w:val="20"/>
        </w:rPr>
        <w:t>Към 30.06.2023</w:t>
      </w:r>
      <w:r>
        <w:rPr>
          <w:szCs w:val="20"/>
        </w:rPr>
        <w:t xml:space="preserve"> </w:t>
      </w:r>
      <w:r w:rsidRPr="00E26AFD">
        <w:rPr>
          <w:szCs w:val="20"/>
        </w:rPr>
        <w:t>г. отчетените разходи възлизат на 152</w:t>
      </w:r>
      <w:r>
        <w:rPr>
          <w:szCs w:val="20"/>
        </w:rPr>
        <w:t>,0</w:t>
      </w:r>
      <w:r w:rsidRPr="00E26AFD">
        <w:rPr>
          <w:szCs w:val="20"/>
        </w:rPr>
        <w:t xml:space="preserve"> млн.</w:t>
      </w:r>
      <w:r>
        <w:rPr>
          <w:szCs w:val="20"/>
        </w:rPr>
        <w:t xml:space="preserve"> </w:t>
      </w:r>
      <w:r w:rsidRPr="00E26AFD">
        <w:rPr>
          <w:szCs w:val="20"/>
        </w:rPr>
        <w:t>лв., формирани от текущи и капиталови трансфери, както следва:</w:t>
      </w:r>
      <w:r w:rsidRPr="00E26AFD">
        <w:tab/>
      </w:r>
    </w:p>
    <w:p w14:paraId="275B14FD" w14:textId="77777777" w:rsidR="00AE2AD5" w:rsidRPr="00E26AFD" w:rsidRDefault="00AE2AD5" w:rsidP="00AE2AD5">
      <w:pPr>
        <w:numPr>
          <w:ilvl w:val="0"/>
          <w:numId w:val="19"/>
        </w:numPr>
        <w:tabs>
          <w:tab w:val="left" w:pos="993"/>
        </w:tabs>
        <w:spacing w:before="120" w:after="120"/>
        <w:ind w:left="1321" w:hanging="612"/>
        <w:jc w:val="both"/>
        <w:rPr>
          <w:b/>
          <w:i/>
          <w:lang w:eastAsia="bg-BG"/>
        </w:rPr>
      </w:pPr>
      <w:r w:rsidRPr="00E26AFD">
        <w:rPr>
          <w:b/>
          <w:i/>
          <w:lang w:eastAsia="bg-BG"/>
        </w:rPr>
        <w:t>Субсидии и други текущи трансфери за нефинансови предприятия</w:t>
      </w:r>
    </w:p>
    <w:p w14:paraId="6C40F072" w14:textId="77777777" w:rsidR="00AE2AD5" w:rsidRPr="00E26AFD" w:rsidRDefault="00AE2AD5" w:rsidP="00AE2AD5">
      <w:pPr>
        <w:contextualSpacing/>
        <w:jc w:val="both"/>
      </w:pPr>
      <w:r w:rsidRPr="00E26AFD">
        <w:tab/>
        <w:t>Отчетените към 30.06.2023</w:t>
      </w:r>
      <w:r>
        <w:t xml:space="preserve"> </w:t>
      </w:r>
      <w:r w:rsidRPr="00E26AFD">
        <w:t>г. текущи разходи са в размер на 76,9 млн.</w:t>
      </w:r>
      <w:r>
        <w:t xml:space="preserve"> </w:t>
      </w:r>
      <w:r w:rsidRPr="00E26AFD">
        <w:t>лв. разпределени както следва:</w:t>
      </w:r>
    </w:p>
    <w:p w14:paraId="12552AA5" w14:textId="77777777" w:rsidR="00AE2AD5" w:rsidRPr="00E26AFD" w:rsidRDefault="00AE2AD5" w:rsidP="00AE2AD5">
      <w:pPr>
        <w:tabs>
          <w:tab w:val="left" w:pos="993"/>
        </w:tabs>
        <w:ind w:firstLine="709"/>
        <w:jc w:val="both"/>
      </w:pPr>
      <w:r w:rsidRPr="00E26AFD">
        <w:t>- национално съфинансиране към ЕЗФРСР за директни плащания – 25,2 млн.</w:t>
      </w:r>
      <w:r>
        <w:t xml:space="preserve"> </w:t>
      </w:r>
      <w:r w:rsidRPr="00E26AFD">
        <w:t>л</w:t>
      </w:r>
      <w:r>
        <w:t>е</w:t>
      </w:r>
      <w:r w:rsidRPr="00E26AFD">
        <w:t>в</w:t>
      </w:r>
      <w:r>
        <w:t>а</w:t>
      </w:r>
      <w:r w:rsidRPr="00E26AFD">
        <w:t>;</w:t>
      </w:r>
    </w:p>
    <w:p w14:paraId="6851BEB3" w14:textId="77777777" w:rsidR="00AE2AD5" w:rsidRPr="00E26AFD" w:rsidRDefault="00AE2AD5" w:rsidP="00AE2AD5">
      <w:pPr>
        <w:ind w:firstLine="720"/>
        <w:contextualSpacing/>
        <w:jc w:val="both"/>
      </w:pPr>
      <w:r w:rsidRPr="00E26AFD">
        <w:t>- текущи субсидии по Програмата за морско дело и рибарство (ПМДР) – 0,6 млн.</w:t>
      </w:r>
      <w:r>
        <w:t xml:space="preserve"> </w:t>
      </w:r>
      <w:r w:rsidRPr="00E26AFD">
        <w:t>л</w:t>
      </w:r>
      <w:r>
        <w:t>е</w:t>
      </w:r>
      <w:r w:rsidRPr="00E26AFD">
        <w:t>в</w:t>
      </w:r>
      <w:r>
        <w:t>а</w:t>
      </w:r>
      <w:r w:rsidRPr="00E26AFD">
        <w:t>;</w:t>
      </w:r>
    </w:p>
    <w:p w14:paraId="230DD32A" w14:textId="77777777" w:rsidR="00AE2AD5" w:rsidRPr="00E26AFD" w:rsidRDefault="00AE2AD5" w:rsidP="00AE2AD5">
      <w:pPr>
        <w:ind w:firstLine="720"/>
        <w:contextualSpacing/>
        <w:jc w:val="both"/>
      </w:pPr>
      <w:r w:rsidRPr="00E26AFD">
        <w:t>- текущи субсидии по ПРСР – 24,8 млн.</w:t>
      </w:r>
      <w:r>
        <w:t xml:space="preserve"> </w:t>
      </w:r>
      <w:r w:rsidRPr="00E26AFD">
        <w:t>л</w:t>
      </w:r>
      <w:r>
        <w:t>е</w:t>
      </w:r>
      <w:r w:rsidRPr="00E26AFD">
        <w:t>в</w:t>
      </w:r>
      <w:r>
        <w:t>а;</w:t>
      </w:r>
    </w:p>
    <w:p w14:paraId="646AA894" w14:textId="77777777" w:rsidR="00AE2AD5" w:rsidRPr="00E26AFD" w:rsidRDefault="00AE2AD5" w:rsidP="00AE2AD5">
      <w:pPr>
        <w:tabs>
          <w:tab w:val="left" w:pos="851"/>
          <w:tab w:val="left" w:pos="1134"/>
        </w:tabs>
        <w:ind w:firstLine="720"/>
        <w:contextualSpacing/>
        <w:jc w:val="both"/>
      </w:pPr>
      <w:r w:rsidRPr="00E26AFD">
        <w:t>- текущи субсидии за пазарни мерки – 26,3 млн.</w:t>
      </w:r>
      <w:r>
        <w:t xml:space="preserve"> </w:t>
      </w:r>
      <w:r w:rsidRPr="00E26AFD">
        <w:t>л</w:t>
      </w:r>
      <w:r>
        <w:t>е</w:t>
      </w:r>
      <w:r w:rsidRPr="00E26AFD">
        <w:t>в</w:t>
      </w:r>
      <w:r>
        <w:t>а</w:t>
      </w:r>
      <w:r w:rsidRPr="00E26AFD">
        <w:t>.</w:t>
      </w:r>
    </w:p>
    <w:p w14:paraId="6AD22A0D" w14:textId="77777777" w:rsidR="00AE2AD5" w:rsidRPr="00E26AFD" w:rsidRDefault="00AE2AD5" w:rsidP="00AE2AD5">
      <w:pPr>
        <w:numPr>
          <w:ilvl w:val="0"/>
          <w:numId w:val="19"/>
        </w:numPr>
        <w:tabs>
          <w:tab w:val="left" w:pos="993"/>
        </w:tabs>
        <w:spacing w:before="120" w:after="120"/>
        <w:ind w:left="1321" w:hanging="612"/>
        <w:jc w:val="both"/>
        <w:rPr>
          <w:b/>
          <w:i/>
          <w:lang w:eastAsia="bg-BG"/>
        </w:rPr>
      </w:pPr>
      <w:r w:rsidRPr="00E26AFD">
        <w:rPr>
          <w:b/>
          <w:i/>
          <w:lang w:eastAsia="bg-BG"/>
        </w:rPr>
        <w:t>Субсидии и други текущи трансфери за юридически лица с нестопанска цел</w:t>
      </w:r>
    </w:p>
    <w:p w14:paraId="1BA43155" w14:textId="77777777" w:rsidR="00AE2AD5" w:rsidRPr="00E26AFD" w:rsidRDefault="00AE2AD5" w:rsidP="00AE2AD5">
      <w:pPr>
        <w:tabs>
          <w:tab w:val="left" w:pos="993"/>
        </w:tabs>
        <w:ind w:firstLine="709"/>
        <w:jc w:val="both"/>
      </w:pPr>
      <w:r w:rsidRPr="00E26AFD">
        <w:t>Към края на второто тримесечие на 2023</w:t>
      </w:r>
      <w:r>
        <w:t xml:space="preserve"> </w:t>
      </w:r>
      <w:r w:rsidRPr="00E26AFD">
        <w:t>г. са отчетени текущи разходи за ЮЛНСЦ в размер на 9</w:t>
      </w:r>
      <w:r>
        <w:t>,0</w:t>
      </w:r>
      <w:r w:rsidRPr="00E26AFD">
        <w:t xml:space="preserve"> млн.</w:t>
      </w:r>
      <w:r>
        <w:t xml:space="preserve"> </w:t>
      </w:r>
      <w:r w:rsidRPr="00E26AFD">
        <w:t>лв., в т.ч.:</w:t>
      </w:r>
    </w:p>
    <w:p w14:paraId="0505400E" w14:textId="77777777" w:rsidR="00AE2AD5" w:rsidRPr="00E26AFD" w:rsidRDefault="00AE2AD5" w:rsidP="00AE2AD5">
      <w:pPr>
        <w:tabs>
          <w:tab w:val="left" w:pos="993"/>
        </w:tabs>
        <w:ind w:firstLine="709"/>
        <w:jc w:val="both"/>
      </w:pPr>
      <w:r w:rsidRPr="00E26AFD">
        <w:t>-  текущи субсидии по ПМДР – 1,2 млн.</w:t>
      </w:r>
      <w:r>
        <w:t xml:space="preserve"> </w:t>
      </w:r>
      <w:r w:rsidRPr="00E26AFD">
        <w:t>л</w:t>
      </w:r>
      <w:r>
        <w:t>е</w:t>
      </w:r>
      <w:r w:rsidRPr="00E26AFD">
        <w:t>в</w:t>
      </w:r>
      <w:r>
        <w:t>а</w:t>
      </w:r>
      <w:r w:rsidRPr="00E26AFD">
        <w:t>;</w:t>
      </w:r>
    </w:p>
    <w:p w14:paraId="35771913" w14:textId="77777777" w:rsidR="00AE2AD5" w:rsidRPr="00E26AFD" w:rsidRDefault="00AE2AD5" w:rsidP="00AE2AD5">
      <w:pPr>
        <w:ind w:firstLine="720"/>
        <w:contextualSpacing/>
        <w:jc w:val="both"/>
      </w:pPr>
      <w:r w:rsidRPr="00E26AFD">
        <w:t>-  текущи субсидии по ПРСР – 7,8 млн.</w:t>
      </w:r>
      <w:r>
        <w:t xml:space="preserve"> </w:t>
      </w:r>
      <w:r w:rsidRPr="00E26AFD">
        <w:t>л</w:t>
      </w:r>
      <w:r>
        <w:t>е</w:t>
      </w:r>
      <w:r w:rsidRPr="00E26AFD">
        <w:t>в</w:t>
      </w:r>
      <w:r>
        <w:t>а</w:t>
      </w:r>
      <w:r w:rsidRPr="00E26AFD">
        <w:t>.</w:t>
      </w:r>
    </w:p>
    <w:p w14:paraId="3509CC63" w14:textId="77777777" w:rsidR="00AE2AD5" w:rsidRPr="00E26AFD" w:rsidRDefault="00AE2AD5" w:rsidP="00AE2AD5">
      <w:pPr>
        <w:numPr>
          <w:ilvl w:val="0"/>
          <w:numId w:val="19"/>
        </w:numPr>
        <w:tabs>
          <w:tab w:val="left" w:pos="993"/>
        </w:tabs>
        <w:spacing w:before="120" w:after="120"/>
        <w:ind w:left="1321" w:hanging="612"/>
        <w:jc w:val="both"/>
        <w:rPr>
          <w:b/>
          <w:i/>
          <w:lang w:eastAsia="bg-BG"/>
        </w:rPr>
      </w:pPr>
      <w:r w:rsidRPr="00E26AFD">
        <w:rPr>
          <w:b/>
          <w:i/>
          <w:lang w:eastAsia="bg-BG"/>
        </w:rPr>
        <w:t>Капиталови трансфери за нефинансови предприятия</w:t>
      </w:r>
    </w:p>
    <w:p w14:paraId="53F2CDAD" w14:textId="77777777" w:rsidR="00AE2AD5" w:rsidRPr="00E26AFD" w:rsidRDefault="00AE2AD5" w:rsidP="00AE2AD5">
      <w:pPr>
        <w:tabs>
          <w:tab w:val="left" w:pos="993"/>
        </w:tabs>
        <w:ind w:firstLine="709"/>
        <w:jc w:val="both"/>
      </w:pPr>
      <w:r w:rsidRPr="00E26AFD">
        <w:t>Към 30.06.2023</w:t>
      </w:r>
      <w:r>
        <w:t xml:space="preserve"> </w:t>
      </w:r>
      <w:r w:rsidRPr="00E26AFD">
        <w:t>г. са отчетени 61,5 млн.</w:t>
      </w:r>
      <w:r>
        <w:t xml:space="preserve"> </w:t>
      </w:r>
      <w:r w:rsidRPr="00E26AFD">
        <w:t>лв. капиталови разходи, разпределени както следва:</w:t>
      </w:r>
    </w:p>
    <w:p w14:paraId="24C94C47" w14:textId="77777777" w:rsidR="00AE2AD5" w:rsidRPr="00E26AFD" w:rsidRDefault="00AE2AD5" w:rsidP="00AE2AD5">
      <w:pPr>
        <w:ind w:firstLine="720"/>
        <w:contextualSpacing/>
        <w:jc w:val="both"/>
      </w:pPr>
      <w:r w:rsidRPr="00E26AFD">
        <w:t>- капиталови трансфери по ПМДР – 0,4 млн.</w:t>
      </w:r>
      <w:r>
        <w:t xml:space="preserve"> </w:t>
      </w:r>
      <w:r w:rsidRPr="00E26AFD">
        <w:t>лв.;</w:t>
      </w:r>
    </w:p>
    <w:p w14:paraId="597FFEE2" w14:textId="77777777" w:rsidR="00AE2AD5" w:rsidRPr="00E26AFD" w:rsidRDefault="00AE2AD5" w:rsidP="00AE2AD5">
      <w:pPr>
        <w:ind w:firstLine="720"/>
        <w:contextualSpacing/>
        <w:jc w:val="both"/>
      </w:pPr>
      <w:r w:rsidRPr="00E26AFD">
        <w:t>- капиталови трансфери по ПРСР – 60,9 млн.</w:t>
      </w:r>
      <w:r>
        <w:t xml:space="preserve"> </w:t>
      </w:r>
      <w:r w:rsidRPr="00E26AFD">
        <w:t>лв.;</w:t>
      </w:r>
    </w:p>
    <w:p w14:paraId="1E61FBB2" w14:textId="77777777" w:rsidR="00AE2AD5" w:rsidRPr="00E26AFD" w:rsidRDefault="00AE2AD5" w:rsidP="00AE2AD5">
      <w:pPr>
        <w:ind w:firstLine="720"/>
        <w:contextualSpacing/>
        <w:jc w:val="both"/>
      </w:pPr>
      <w:r w:rsidRPr="00E26AFD">
        <w:t>- капиталови трансфери за пазарни мерки</w:t>
      </w:r>
      <w:r>
        <w:t xml:space="preserve"> </w:t>
      </w:r>
      <w:r w:rsidRPr="00E26AFD">
        <w:t>– 0,2 млн.</w:t>
      </w:r>
      <w:r>
        <w:t xml:space="preserve"> </w:t>
      </w:r>
      <w:r w:rsidRPr="00E26AFD">
        <w:t>лв.</w:t>
      </w:r>
    </w:p>
    <w:p w14:paraId="30019C1B" w14:textId="77777777" w:rsidR="00AE2AD5" w:rsidRPr="00E26AFD" w:rsidRDefault="00AE2AD5" w:rsidP="00AE2AD5">
      <w:pPr>
        <w:numPr>
          <w:ilvl w:val="0"/>
          <w:numId w:val="19"/>
        </w:numPr>
        <w:tabs>
          <w:tab w:val="left" w:pos="993"/>
        </w:tabs>
        <w:spacing w:before="120" w:after="120"/>
        <w:ind w:left="1321" w:hanging="612"/>
        <w:jc w:val="both"/>
        <w:rPr>
          <w:b/>
          <w:i/>
          <w:lang w:eastAsia="bg-BG"/>
        </w:rPr>
      </w:pPr>
      <w:r w:rsidRPr="00E26AFD">
        <w:rPr>
          <w:b/>
          <w:i/>
          <w:lang w:eastAsia="bg-BG"/>
        </w:rPr>
        <w:t>Капиталови трансфери за организации с нестопанска цел</w:t>
      </w:r>
    </w:p>
    <w:p w14:paraId="48CE7360" w14:textId="77777777" w:rsidR="00AE2AD5" w:rsidRPr="00E26AFD" w:rsidRDefault="00AE2AD5" w:rsidP="00AE2AD5">
      <w:pPr>
        <w:ind w:firstLine="708"/>
        <w:jc w:val="both"/>
      </w:pPr>
      <w:r w:rsidRPr="00E26AFD">
        <w:t>Към 30.06.2023г. са отчетени капиталови трансфери по ПРСР в размер 4,6 млн.</w:t>
      </w:r>
      <w:r>
        <w:t xml:space="preserve"> </w:t>
      </w:r>
      <w:r w:rsidRPr="00E26AFD">
        <w:t>л</w:t>
      </w:r>
      <w:r>
        <w:t>е</w:t>
      </w:r>
      <w:r w:rsidRPr="00E26AFD">
        <w:t>в</w:t>
      </w:r>
      <w:r>
        <w:t>а</w:t>
      </w:r>
      <w:r w:rsidRPr="00E26AFD">
        <w:t>.</w:t>
      </w:r>
    </w:p>
    <w:p w14:paraId="332D133A" w14:textId="77777777" w:rsidR="00AE2AD5" w:rsidRPr="00E26AFD" w:rsidRDefault="00AE2AD5" w:rsidP="00AE2AD5">
      <w:pPr>
        <w:ind w:firstLine="708"/>
        <w:jc w:val="both"/>
      </w:pPr>
    </w:p>
    <w:p w14:paraId="63475A61" w14:textId="77777777" w:rsidR="00AE2AD5" w:rsidRPr="00E26AFD" w:rsidRDefault="00AE2AD5" w:rsidP="00AE2AD5">
      <w:pPr>
        <w:numPr>
          <w:ilvl w:val="0"/>
          <w:numId w:val="20"/>
        </w:numPr>
        <w:spacing w:before="120" w:after="120" w:line="276" w:lineRule="auto"/>
        <w:ind w:left="780"/>
        <w:contextualSpacing/>
        <w:jc w:val="both"/>
        <w:rPr>
          <w:b/>
          <w:lang w:eastAsia="bg-BG"/>
        </w:rPr>
      </w:pPr>
      <w:r w:rsidRPr="00E26AFD">
        <w:rPr>
          <w:b/>
          <w:lang w:eastAsia="bg-BG"/>
        </w:rPr>
        <w:t xml:space="preserve">Трансфери </w:t>
      </w:r>
    </w:p>
    <w:p w14:paraId="436331ED" w14:textId="77777777" w:rsidR="00AE2AD5" w:rsidRPr="00E26AFD" w:rsidRDefault="00AE2AD5" w:rsidP="00AE2AD5">
      <w:pPr>
        <w:tabs>
          <w:tab w:val="left" w:pos="540"/>
        </w:tabs>
        <w:ind w:firstLine="709"/>
        <w:contextualSpacing/>
        <w:jc w:val="both"/>
      </w:pPr>
      <w:r w:rsidRPr="00E26AFD">
        <w:t>В частта на трансферите, в касовия отчет на ДФЗ-РА към 30.06.2023</w:t>
      </w:r>
      <w:r>
        <w:t xml:space="preserve"> </w:t>
      </w:r>
      <w:r w:rsidRPr="00E26AFD">
        <w:t>г. са отразени следните касови потоци:</w:t>
      </w:r>
    </w:p>
    <w:p w14:paraId="4F7F2025" w14:textId="77777777" w:rsidR="00AE2AD5" w:rsidRPr="00E26AFD" w:rsidRDefault="00AE2AD5" w:rsidP="00AE2AD5">
      <w:pPr>
        <w:numPr>
          <w:ilvl w:val="0"/>
          <w:numId w:val="19"/>
        </w:numPr>
        <w:tabs>
          <w:tab w:val="left" w:pos="993"/>
        </w:tabs>
        <w:spacing w:before="120" w:after="120"/>
        <w:ind w:left="1321" w:hanging="612"/>
        <w:jc w:val="both"/>
        <w:rPr>
          <w:b/>
          <w:i/>
          <w:lang w:eastAsia="bg-BG"/>
        </w:rPr>
      </w:pPr>
      <w:r w:rsidRPr="00E26AFD">
        <w:rPr>
          <w:b/>
          <w:i/>
          <w:lang w:eastAsia="bg-BG"/>
        </w:rPr>
        <w:t xml:space="preserve">Трансфери между бюджети и сметки за средства от Европейския съюз </w:t>
      </w:r>
    </w:p>
    <w:p w14:paraId="5B011D7B" w14:textId="77777777" w:rsidR="00AE2AD5" w:rsidRPr="00E26AFD" w:rsidRDefault="00AE2AD5" w:rsidP="00AE2AD5">
      <w:pPr>
        <w:ind w:firstLine="720"/>
        <w:jc w:val="both"/>
      </w:pPr>
      <w:r w:rsidRPr="00E26AFD">
        <w:t>Получените трансфери от бюджетни сметки на бюджетни организации и общини са формирани при възстановяване на суми по вземания по ПРСР и директни плащания и техният размер е 0,9 млн.</w:t>
      </w:r>
      <w:r>
        <w:t xml:space="preserve"> </w:t>
      </w:r>
      <w:r w:rsidRPr="00E26AFD">
        <w:t>л</w:t>
      </w:r>
      <w:r>
        <w:t>е</w:t>
      </w:r>
      <w:r w:rsidRPr="00E26AFD">
        <w:t>в</w:t>
      </w:r>
      <w:r>
        <w:t>а</w:t>
      </w:r>
      <w:r w:rsidRPr="00E26AFD">
        <w:t>.</w:t>
      </w:r>
    </w:p>
    <w:p w14:paraId="54D4E30E" w14:textId="77777777" w:rsidR="00AE2AD5" w:rsidRPr="00E26AFD" w:rsidRDefault="00AE2AD5" w:rsidP="00AE2AD5">
      <w:pPr>
        <w:jc w:val="both"/>
      </w:pPr>
      <w:r w:rsidRPr="00E26AFD">
        <w:tab/>
        <w:t>Предоставените за периода трансфери във връзка с чл.14 от Закона за подпомагане на земеделските производители възлизат на 0,8 млн.</w:t>
      </w:r>
      <w:r>
        <w:t xml:space="preserve"> </w:t>
      </w:r>
      <w:r w:rsidRPr="00E26AFD">
        <w:t>л</w:t>
      </w:r>
      <w:r>
        <w:t>е</w:t>
      </w:r>
      <w:r w:rsidRPr="00E26AFD">
        <w:t>в</w:t>
      </w:r>
      <w:r>
        <w:t>а</w:t>
      </w:r>
      <w:r w:rsidRPr="00E26AFD">
        <w:t>.</w:t>
      </w:r>
    </w:p>
    <w:p w14:paraId="06177518" w14:textId="77777777" w:rsidR="00AE2AD5" w:rsidRPr="00E26AFD" w:rsidRDefault="00AE2AD5" w:rsidP="00AE2AD5">
      <w:pPr>
        <w:numPr>
          <w:ilvl w:val="0"/>
          <w:numId w:val="19"/>
        </w:numPr>
        <w:tabs>
          <w:tab w:val="left" w:pos="993"/>
        </w:tabs>
        <w:spacing w:before="120" w:after="120"/>
        <w:ind w:left="1321" w:hanging="612"/>
        <w:jc w:val="both"/>
        <w:rPr>
          <w:b/>
          <w:i/>
          <w:lang w:eastAsia="bg-BG"/>
        </w:rPr>
      </w:pPr>
      <w:r w:rsidRPr="00E26AFD">
        <w:rPr>
          <w:b/>
          <w:i/>
          <w:lang w:eastAsia="bg-BG"/>
        </w:rPr>
        <w:t>Трансфери между сметки за средства от Европейския съюз:</w:t>
      </w:r>
    </w:p>
    <w:p w14:paraId="4CF3C780" w14:textId="77777777" w:rsidR="00AE2AD5" w:rsidRPr="00E26AFD" w:rsidRDefault="00AE2AD5" w:rsidP="00AE2AD5">
      <w:pPr>
        <w:tabs>
          <w:tab w:val="left" w:pos="540"/>
        </w:tabs>
        <w:jc w:val="both"/>
      </w:pPr>
      <w:r w:rsidRPr="00E26AFD">
        <w:tab/>
      </w:r>
      <w:r w:rsidRPr="00E26AFD">
        <w:tab/>
        <w:t>Предоставените трансфери са формирани от изплатените субсидии на публични бенефициенти. Към 30.06.2023</w:t>
      </w:r>
      <w:r>
        <w:t xml:space="preserve"> </w:t>
      </w:r>
      <w:r w:rsidRPr="00E26AFD">
        <w:t>г. са отчетени 26,8 млн.</w:t>
      </w:r>
      <w:r>
        <w:t xml:space="preserve"> </w:t>
      </w:r>
      <w:r w:rsidRPr="00E26AFD">
        <w:t xml:space="preserve">лв., в т.ч.: </w:t>
      </w:r>
    </w:p>
    <w:p w14:paraId="3F3952AA" w14:textId="77777777" w:rsidR="00AE2AD5" w:rsidRPr="00E26AFD" w:rsidRDefault="00AE2AD5" w:rsidP="00AE2AD5">
      <w:pPr>
        <w:numPr>
          <w:ilvl w:val="0"/>
          <w:numId w:val="34"/>
        </w:numPr>
        <w:tabs>
          <w:tab w:val="left" w:pos="540"/>
          <w:tab w:val="left" w:pos="851"/>
        </w:tabs>
        <w:ind w:left="0" w:firstLine="709"/>
        <w:contextualSpacing/>
        <w:jc w:val="both"/>
      </w:pPr>
      <w:r w:rsidRPr="00E26AFD">
        <w:t>по Програмата за развитие на селските райони: 24,6 млн.</w:t>
      </w:r>
      <w:r>
        <w:t xml:space="preserve"> </w:t>
      </w:r>
      <w:r w:rsidRPr="00E26AFD">
        <w:t>л</w:t>
      </w:r>
      <w:r>
        <w:t>е</w:t>
      </w:r>
      <w:r w:rsidRPr="00E26AFD">
        <w:t>в</w:t>
      </w:r>
      <w:r>
        <w:t>а</w:t>
      </w:r>
      <w:r w:rsidRPr="00E26AFD">
        <w:t>;</w:t>
      </w:r>
    </w:p>
    <w:p w14:paraId="15252372" w14:textId="77777777" w:rsidR="00AE2AD5" w:rsidRPr="00E26AFD" w:rsidRDefault="00AE2AD5" w:rsidP="00AE2AD5">
      <w:pPr>
        <w:numPr>
          <w:ilvl w:val="0"/>
          <w:numId w:val="34"/>
        </w:numPr>
        <w:tabs>
          <w:tab w:val="left" w:pos="540"/>
          <w:tab w:val="left" w:pos="851"/>
        </w:tabs>
        <w:ind w:left="0" w:firstLine="709"/>
        <w:contextualSpacing/>
        <w:jc w:val="both"/>
      </w:pPr>
      <w:r w:rsidRPr="00E26AFD">
        <w:t>национално съфинансиране към директни плащания: 0,1 млн.</w:t>
      </w:r>
      <w:r>
        <w:t xml:space="preserve"> </w:t>
      </w:r>
      <w:r w:rsidRPr="00E26AFD">
        <w:t>л</w:t>
      </w:r>
      <w:r>
        <w:t>е</w:t>
      </w:r>
      <w:r w:rsidRPr="00E26AFD">
        <w:t>в</w:t>
      </w:r>
      <w:r>
        <w:t>а</w:t>
      </w:r>
      <w:r w:rsidRPr="00E26AFD">
        <w:t>;</w:t>
      </w:r>
    </w:p>
    <w:p w14:paraId="4CCD7E2A" w14:textId="77777777" w:rsidR="00AE2AD5" w:rsidRPr="00E26AFD" w:rsidRDefault="00AE2AD5" w:rsidP="00AE2AD5">
      <w:pPr>
        <w:numPr>
          <w:ilvl w:val="0"/>
          <w:numId w:val="34"/>
        </w:numPr>
        <w:tabs>
          <w:tab w:val="left" w:pos="540"/>
          <w:tab w:val="left" w:pos="851"/>
        </w:tabs>
        <w:ind w:left="0" w:firstLine="709"/>
        <w:contextualSpacing/>
        <w:jc w:val="both"/>
      </w:pPr>
      <w:r w:rsidRPr="00E26AFD">
        <w:t>по Програмата за морско дело и рибарство: 2,1 млн.</w:t>
      </w:r>
      <w:r>
        <w:t xml:space="preserve"> </w:t>
      </w:r>
      <w:r w:rsidRPr="00E26AFD">
        <w:t>л</w:t>
      </w:r>
      <w:r>
        <w:t>е</w:t>
      </w:r>
      <w:r w:rsidRPr="00E26AFD">
        <w:t>в</w:t>
      </w:r>
      <w:r>
        <w:t>а</w:t>
      </w:r>
      <w:r w:rsidRPr="00E26AFD">
        <w:t>.</w:t>
      </w:r>
    </w:p>
    <w:p w14:paraId="026E027B" w14:textId="77777777" w:rsidR="00AE2AD5" w:rsidRPr="00E26AFD" w:rsidRDefault="00AE2AD5" w:rsidP="00AE2AD5">
      <w:pPr>
        <w:tabs>
          <w:tab w:val="left" w:pos="540"/>
        </w:tabs>
        <w:jc w:val="both"/>
      </w:pPr>
      <w:r w:rsidRPr="00E26AFD">
        <w:tab/>
      </w:r>
    </w:p>
    <w:p w14:paraId="5161C767" w14:textId="77777777" w:rsidR="00AE2AD5" w:rsidRPr="00E26AFD" w:rsidRDefault="00AE2AD5" w:rsidP="00AE2AD5">
      <w:pPr>
        <w:numPr>
          <w:ilvl w:val="0"/>
          <w:numId w:val="20"/>
        </w:numPr>
        <w:spacing w:before="120" w:after="120" w:line="276" w:lineRule="auto"/>
        <w:ind w:left="780"/>
        <w:contextualSpacing/>
        <w:jc w:val="both"/>
        <w:rPr>
          <w:b/>
          <w:lang w:eastAsia="bg-BG"/>
        </w:rPr>
      </w:pPr>
      <w:r w:rsidRPr="00E26AFD">
        <w:rPr>
          <w:b/>
          <w:lang w:eastAsia="bg-BG"/>
        </w:rPr>
        <w:t>Финансиране</w:t>
      </w:r>
    </w:p>
    <w:p w14:paraId="2F2BA665" w14:textId="77777777" w:rsidR="00AE2AD5" w:rsidRPr="00E26AFD" w:rsidRDefault="00AE2AD5" w:rsidP="00AE2AD5">
      <w:pPr>
        <w:numPr>
          <w:ilvl w:val="0"/>
          <w:numId w:val="19"/>
        </w:numPr>
        <w:tabs>
          <w:tab w:val="left" w:pos="993"/>
        </w:tabs>
        <w:spacing w:before="120" w:after="120"/>
        <w:ind w:left="851" w:hanging="425"/>
        <w:jc w:val="both"/>
        <w:rPr>
          <w:b/>
          <w:lang w:eastAsia="bg-BG"/>
        </w:rPr>
      </w:pPr>
      <w:r w:rsidRPr="00E26AFD">
        <w:rPr>
          <w:b/>
          <w:lang w:eastAsia="bg-BG"/>
        </w:rPr>
        <w:t>Суми по разчети за поети осигурителни вноски и данъци</w:t>
      </w:r>
    </w:p>
    <w:p w14:paraId="389B315B" w14:textId="77777777" w:rsidR="00AE2AD5" w:rsidRPr="00E26AFD" w:rsidRDefault="00AE2AD5" w:rsidP="00AE2AD5">
      <w:pPr>
        <w:ind w:firstLine="851"/>
        <w:jc w:val="both"/>
        <w:rPr>
          <w:lang w:eastAsia="bg-BG"/>
        </w:rPr>
      </w:pPr>
      <w:r w:rsidRPr="00E26AFD">
        <w:rPr>
          <w:lang w:eastAsia="bg-BG"/>
        </w:rPr>
        <w:t>Към края на второто тримесечие на 2023</w:t>
      </w:r>
      <w:r>
        <w:rPr>
          <w:lang w:eastAsia="bg-BG"/>
        </w:rPr>
        <w:t xml:space="preserve"> </w:t>
      </w:r>
      <w:r w:rsidRPr="00E26AFD">
        <w:rPr>
          <w:lang w:eastAsia="bg-BG"/>
        </w:rPr>
        <w:t>г. сумата по разчети за поети данъци, формирани от удържан и внесен окончателен данък на физически лица, съгл. чл. 65, ал. 14 от ЗДДФЛ възлиза нето на 0,1 млн.</w:t>
      </w:r>
      <w:r>
        <w:rPr>
          <w:lang w:eastAsia="bg-BG"/>
        </w:rPr>
        <w:t xml:space="preserve"> </w:t>
      </w:r>
      <w:r w:rsidRPr="00E26AFD">
        <w:rPr>
          <w:lang w:eastAsia="bg-BG"/>
        </w:rPr>
        <w:t>л</w:t>
      </w:r>
      <w:r>
        <w:rPr>
          <w:lang w:eastAsia="bg-BG"/>
        </w:rPr>
        <w:t>е</w:t>
      </w:r>
      <w:r w:rsidRPr="00E26AFD">
        <w:rPr>
          <w:lang w:eastAsia="bg-BG"/>
        </w:rPr>
        <w:t>в</w:t>
      </w:r>
      <w:r>
        <w:rPr>
          <w:lang w:eastAsia="bg-BG"/>
        </w:rPr>
        <w:t>а</w:t>
      </w:r>
      <w:r w:rsidRPr="00E26AFD">
        <w:rPr>
          <w:lang w:eastAsia="bg-BG"/>
        </w:rPr>
        <w:t>.</w:t>
      </w:r>
    </w:p>
    <w:p w14:paraId="34C14088" w14:textId="77777777" w:rsidR="00AE2AD5" w:rsidRPr="00E26AFD" w:rsidRDefault="00AE2AD5" w:rsidP="00AE2AD5">
      <w:pPr>
        <w:numPr>
          <w:ilvl w:val="0"/>
          <w:numId w:val="19"/>
        </w:numPr>
        <w:tabs>
          <w:tab w:val="left" w:pos="993"/>
        </w:tabs>
        <w:spacing w:before="120" w:after="120"/>
        <w:ind w:left="851" w:hanging="425"/>
        <w:jc w:val="both"/>
        <w:rPr>
          <w:b/>
          <w:lang w:eastAsia="bg-BG"/>
        </w:rPr>
      </w:pPr>
      <w:r w:rsidRPr="00E26AFD">
        <w:rPr>
          <w:b/>
          <w:lang w:eastAsia="bg-BG"/>
        </w:rPr>
        <w:t>Друго финансиране</w:t>
      </w:r>
    </w:p>
    <w:p w14:paraId="74D57E64" w14:textId="77777777" w:rsidR="00AE2AD5" w:rsidRPr="00E26AFD" w:rsidRDefault="00AE2AD5" w:rsidP="00AE2AD5">
      <w:pPr>
        <w:jc w:val="both"/>
        <w:rPr>
          <w:lang w:eastAsia="bg-BG"/>
        </w:rPr>
      </w:pPr>
      <w:r w:rsidRPr="00E26AFD">
        <w:rPr>
          <w:color w:val="0070C0"/>
          <w:lang w:eastAsia="bg-BG"/>
        </w:rPr>
        <w:tab/>
      </w:r>
      <w:r w:rsidRPr="00E26AFD">
        <w:rPr>
          <w:lang w:eastAsia="bg-BG"/>
        </w:rPr>
        <w:t>За периода 01.01-30.06.2023г. извършените плащания, възстановените суми, разчетът с централния бюджет и операциите с чужди средства, включени в отчетността в „Друго финансиране“ възлизат общо на 4,6 млн.</w:t>
      </w:r>
      <w:r>
        <w:rPr>
          <w:lang w:eastAsia="bg-BG"/>
        </w:rPr>
        <w:t xml:space="preserve"> </w:t>
      </w:r>
      <w:r w:rsidRPr="00E26AFD">
        <w:rPr>
          <w:lang w:eastAsia="bg-BG"/>
        </w:rPr>
        <w:t>л</w:t>
      </w:r>
      <w:r>
        <w:rPr>
          <w:lang w:eastAsia="bg-BG"/>
        </w:rPr>
        <w:t>е</w:t>
      </w:r>
      <w:r w:rsidRPr="00E26AFD">
        <w:rPr>
          <w:lang w:eastAsia="bg-BG"/>
        </w:rPr>
        <w:t>в</w:t>
      </w:r>
      <w:r>
        <w:rPr>
          <w:lang w:eastAsia="bg-BG"/>
        </w:rPr>
        <w:t>а</w:t>
      </w:r>
      <w:r w:rsidRPr="00E26AFD">
        <w:rPr>
          <w:lang w:eastAsia="bg-BG"/>
        </w:rPr>
        <w:t>.</w:t>
      </w:r>
      <w:r w:rsidRPr="00E26AFD">
        <w:rPr>
          <w:lang w:eastAsia="bg-BG"/>
        </w:rPr>
        <w:tab/>
      </w:r>
    </w:p>
    <w:p w14:paraId="3D5EAC21" w14:textId="77777777" w:rsidR="00AE2AD5" w:rsidRPr="00E26AFD" w:rsidRDefault="00AE2AD5" w:rsidP="00AE2AD5">
      <w:pPr>
        <w:jc w:val="both"/>
        <w:rPr>
          <w:lang w:eastAsia="bg-BG"/>
        </w:rPr>
      </w:pPr>
      <w:r w:rsidRPr="00E26AFD">
        <w:rPr>
          <w:lang w:eastAsia="bg-BG"/>
        </w:rPr>
        <w:tab/>
        <w:t>Към 30.06.2023г. са отчетени плащания в общ размер 858,9 млн.</w:t>
      </w:r>
      <w:r>
        <w:rPr>
          <w:lang w:eastAsia="bg-BG"/>
        </w:rPr>
        <w:t xml:space="preserve"> </w:t>
      </w:r>
      <w:r w:rsidRPr="00E26AFD">
        <w:rPr>
          <w:lang w:eastAsia="bg-BG"/>
        </w:rPr>
        <w:t>лв. по следните направления:</w:t>
      </w:r>
    </w:p>
    <w:p w14:paraId="73FE33BE" w14:textId="77777777" w:rsidR="00AE2AD5" w:rsidRPr="00E26AFD" w:rsidRDefault="00AE2AD5" w:rsidP="00AE2AD5">
      <w:pPr>
        <w:numPr>
          <w:ilvl w:val="0"/>
          <w:numId w:val="21"/>
        </w:numPr>
        <w:tabs>
          <w:tab w:val="left" w:pos="993"/>
        </w:tabs>
        <w:ind w:left="0" w:firstLine="709"/>
        <w:contextualSpacing/>
        <w:jc w:val="both"/>
        <w:rPr>
          <w:szCs w:val="20"/>
        </w:rPr>
      </w:pPr>
      <w:r w:rsidRPr="00E26AFD">
        <w:rPr>
          <w:szCs w:val="20"/>
        </w:rPr>
        <w:t>765</w:t>
      </w:r>
      <w:r>
        <w:rPr>
          <w:szCs w:val="20"/>
        </w:rPr>
        <w:t>,0</w:t>
      </w:r>
      <w:r w:rsidRPr="00E26AFD">
        <w:rPr>
          <w:szCs w:val="20"/>
        </w:rPr>
        <w:t xml:space="preserve"> млн.</w:t>
      </w:r>
      <w:r>
        <w:rPr>
          <w:szCs w:val="20"/>
        </w:rPr>
        <w:t xml:space="preserve"> </w:t>
      </w:r>
      <w:r w:rsidRPr="00E26AFD">
        <w:rPr>
          <w:szCs w:val="20"/>
        </w:rPr>
        <w:t>лв. за директни плащания за сметка на ЕФГЗ;</w:t>
      </w:r>
    </w:p>
    <w:p w14:paraId="7A140458" w14:textId="77777777" w:rsidR="00AE2AD5" w:rsidRPr="00E26AFD" w:rsidRDefault="00AE2AD5" w:rsidP="00AE2AD5">
      <w:pPr>
        <w:numPr>
          <w:ilvl w:val="0"/>
          <w:numId w:val="21"/>
        </w:numPr>
        <w:tabs>
          <w:tab w:val="left" w:pos="993"/>
        </w:tabs>
        <w:ind w:left="0" w:firstLine="709"/>
        <w:contextualSpacing/>
        <w:jc w:val="both"/>
        <w:rPr>
          <w:szCs w:val="20"/>
        </w:rPr>
      </w:pPr>
      <w:r w:rsidRPr="00E26AFD">
        <w:rPr>
          <w:szCs w:val="20"/>
        </w:rPr>
        <w:t>85,2 млн.</w:t>
      </w:r>
      <w:r>
        <w:rPr>
          <w:szCs w:val="20"/>
        </w:rPr>
        <w:t xml:space="preserve"> </w:t>
      </w:r>
      <w:r w:rsidRPr="00E26AFD">
        <w:rPr>
          <w:szCs w:val="20"/>
        </w:rPr>
        <w:t>лв. средства от ЕЗФРСР, прехвърлени към директни плащания;</w:t>
      </w:r>
    </w:p>
    <w:p w14:paraId="6CF79BC7" w14:textId="77777777" w:rsidR="00AE2AD5" w:rsidRPr="00E26AFD" w:rsidRDefault="00AE2AD5" w:rsidP="00AE2AD5">
      <w:pPr>
        <w:numPr>
          <w:ilvl w:val="0"/>
          <w:numId w:val="21"/>
        </w:numPr>
        <w:tabs>
          <w:tab w:val="left" w:pos="993"/>
        </w:tabs>
        <w:ind w:left="0" w:firstLine="709"/>
        <w:contextualSpacing/>
        <w:jc w:val="both"/>
        <w:rPr>
          <w:szCs w:val="20"/>
        </w:rPr>
      </w:pPr>
      <w:r w:rsidRPr="00E26AFD">
        <w:rPr>
          <w:szCs w:val="20"/>
        </w:rPr>
        <w:t>5,7 млн.</w:t>
      </w:r>
      <w:r>
        <w:rPr>
          <w:szCs w:val="20"/>
        </w:rPr>
        <w:t xml:space="preserve"> </w:t>
      </w:r>
      <w:r w:rsidRPr="00E26AFD">
        <w:rPr>
          <w:szCs w:val="20"/>
        </w:rPr>
        <w:t xml:space="preserve">лв. за пазарни мерки; </w:t>
      </w:r>
    </w:p>
    <w:p w14:paraId="72200C37" w14:textId="77777777" w:rsidR="00AE2AD5" w:rsidRPr="00E26AFD" w:rsidRDefault="00AE2AD5" w:rsidP="00AE2AD5">
      <w:pPr>
        <w:numPr>
          <w:ilvl w:val="0"/>
          <w:numId w:val="21"/>
        </w:numPr>
        <w:tabs>
          <w:tab w:val="left" w:pos="993"/>
        </w:tabs>
        <w:ind w:left="0" w:firstLine="709"/>
        <w:contextualSpacing/>
        <w:jc w:val="both"/>
        <w:rPr>
          <w:lang w:eastAsia="bg-BG"/>
        </w:rPr>
      </w:pPr>
      <w:r w:rsidRPr="00E26AFD">
        <w:rPr>
          <w:szCs w:val="20"/>
        </w:rPr>
        <w:t>3</w:t>
      </w:r>
      <w:r>
        <w:rPr>
          <w:szCs w:val="20"/>
        </w:rPr>
        <w:t>,0</w:t>
      </w:r>
      <w:r w:rsidRPr="00E26AFD">
        <w:rPr>
          <w:szCs w:val="20"/>
        </w:rPr>
        <w:t xml:space="preserve"> млн.</w:t>
      </w:r>
      <w:r>
        <w:rPr>
          <w:szCs w:val="20"/>
        </w:rPr>
        <w:t xml:space="preserve"> </w:t>
      </w:r>
      <w:r w:rsidRPr="00E26AFD">
        <w:rPr>
          <w:szCs w:val="20"/>
        </w:rPr>
        <w:t>лв. за преструктуриране.</w:t>
      </w:r>
      <w:r w:rsidRPr="00E26AFD">
        <w:rPr>
          <w:lang w:eastAsia="bg-BG"/>
        </w:rPr>
        <w:tab/>
      </w:r>
    </w:p>
    <w:p w14:paraId="52817B9C" w14:textId="77777777" w:rsidR="00AE2AD5" w:rsidRPr="00E26AFD" w:rsidRDefault="00AE2AD5" w:rsidP="00AE2AD5">
      <w:pPr>
        <w:jc w:val="both"/>
        <w:rPr>
          <w:color w:val="0070C0"/>
          <w:lang w:eastAsia="bg-BG"/>
        </w:rPr>
      </w:pPr>
      <w:r w:rsidRPr="00E26AFD">
        <w:rPr>
          <w:lang w:eastAsia="bg-BG"/>
        </w:rPr>
        <w:tab/>
        <w:t>Възстановените суми от Европейския съюз в частта финансиране към 30.06.2023</w:t>
      </w:r>
      <w:r>
        <w:rPr>
          <w:lang w:eastAsia="bg-BG"/>
        </w:rPr>
        <w:t xml:space="preserve"> </w:t>
      </w:r>
      <w:r w:rsidRPr="00E26AFD">
        <w:rPr>
          <w:lang w:eastAsia="bg-BG"/>
        </w:rPr>
        <w:t>г. възлизат на 1 647,4 млн.</w:t>
      </w:r>
      <w:r>
        <w:rPr>
          <w:lang w:eastAsia="bg-BG"/>
        </w:rPr>
        <w:t xml:space="preserve"> </w:t>
      </w:r>
      <w:r w:rsidRPr="00E26AFD">
        <w:rPr>
          <w:lang w:eastAsia="bg-BG"/>
        </w:rPr>
        <w:t>лв. по следните направления:</w:t>
      </w:r>
    </w:p>
    <w:p w14:paraId="4C700396" w14:textId="77777777" w:rsidR="00AE2AD5" w:rsidRPr="00E26AFD" w:rsidRDefault="00AE2AD5" w:rsidP="00AE2AD5">
      <w:pPr>
        <w:numPr>
          <w:ilvl w:val="0"/>
          <w:numId w:val="21"/>
        </w:numPr>
        <w:tabs>
          <w:tab w:val="left" w:pos="993"/>
        </w:tabs>
        <w:ind w:left="0" w:firstLine="709"/>
        <w:contextualSpacing/>
        <w:jc w:val="both"/>
        <w:rPr>
          <w:szCs w:val="20"/>
        </w:rPr>
      </w:pPr>
      <w:r w:rsidRPr="00E26AFD">
        <w:rPr>
          <w:szCs w:val="20"/>
        </w:rPr>
        <w:t>1 458,3 млн.</w:t>
      </w:r>
      <w:r>
        <w:rPr>
          <w:szCs w:val="20"/>
        </w:rPr>
        <w:t xml:space="preserve"> </w:t>
      </w:r>
      <w:r w:rsidRPr="00E26AFD">
        <w:rPr>
          <w:szCs w:val="20"/>
        </w:rPr>
        <w:t>лв. за директни плащания от ЕФГЗ;</w:t>
      </w:r>
    </w:p>
    <w:p w14:paraId="00466B43" w14:textId="77777777" w:rsidR="00AE2AD5" w:rsidRPr="00E26AFD" w:rsidRDefault="00AE2AD5" w:rsidP="00AE2AD5">
      <w:pPr>
        <w:numPr>
          <w:ilvl w:val="0"/>
          <w:numId w:val="21"/>
        </w:numPr>
        <w:tabs>
          <w:tab w:val="left" w:pos="993"/>
        </w:tabs>
        <w:ind w:left="0" w:firstLine="709"/>
        <w:contextualSpacing/>
        <w:jc w:val="both"/>
        <w:rPr>
          <w:szCs w:val="20"/>
        </w:rPr>
      </w:pPr>
      <w:r w:rsidRPr="00E26AFD">
        <w:rPr>
          <w:szCs w:val="20"/>
        </w:rPr>
        <w:t>183,9 млн.</w:t>
      </w:r>
      <w:r>
        <w:rPr>
          <w:szCs w:val="20"/>
        </w:rPr>
        <w:t xml:space="preserve"> </w:t>
      </w:r>
      <w:r w:rsidRPr="00E26AFD">
        <w:rPr>
          <w:szCs w:val="20"/>
        </w:rPr>
        <w:t xml:space="preserve">лв. от ЕЗФРСР, прехвърлени към директни плащания; </w:t>
      </w:r>
    </w:p>
    <w:p w14:paraId="288D8DAF" w14:textId="77777777" w:rsidR="00AE2AD5" w:rsidRPr="00E26AFD" w:rsidRDefault="00AE2AD5" w:rsidP="00AE2AD5">
      <w:pPr>
        <w:numPr>
          <w:ilvl w:val="0"/>
          <w:numId w:val="21"/>
        </w:numPr>
        <w:tabs>
          <w:tab w:val="left" w:pos="993"/>
        </w:tabs>
        <w:ind w:left="0" w:firstLine="709"/>
        <w:contextualSpacing/>
        <w:jc w:val="both"/>
        <w:rPr>
          <w:szCs w:val="20"/>
        </w:rPr>
      </w:pPr>
      <w:r w:rsidRPr="00E26AFD">
        <w:rPr>
          <w:szCs w:val="20"/>
        </w:rPr>
        <w:t>3,9 млн.</w:t>
      </w:r>
      <w:r>
        <w:rPr>
          <w:szCs w:val="20"/>
        </w:rPr>
        <w:t xml:space="preserve"> </w:t>
      </w:r>
      <w:r w:rsidRPr="00E26AFD">
        <w:rPr>
          <w:szCs w:val="20"/>
        </w:rPr>
        <w:t xml:space="preserve">лв. за пазарни мерки от ЕФГЗ; </w:t>
      </w:r>
    </w:p>
    <w:p w14:paraId="598129B9" w14:textId="77777777" w:rsidR="00AE2AD5" w:rsidRPr="00E26AFD" w:rsidRDefault="00AE2AD5" w:rsidP="00AE2AD5">
      <w:pPr>
        <w:numPr>
          <w:ilvl w:val="0"/>
          <w:numId w:val="21"/>
        </w:numPr>
        <w:tabs>
          <w:tab w:val="left" w:pos="993"/>
        </w:tabs>
        <w:spacing w:after="120"/>
        <w:ind w:left="0" w:firstLine="709"/>
        <w:contextualSpacing/>
        <w:jc w:val="both"/>
      </w:pPr>
      <w:r w:rsidRPr="00E26AFD">
        <w:rPr>
          <w:szCs w:val="20"/>
        </w:rPr>
        <w:t>1,3 млн.</w:t>
      </w:r>
      <w:r>
        <w:rPr>
          <w:szCs w:val="20"/>
        </w:rPr>
        <w:t xml:space="preserve"> </w:t>
      </w:r>
      <w:r w:rsidRPr="00E26AFD">
        <w:rPr>
          <w:szCs w:val="20"/>
        </w:rPr>
        <w:t xml:space="preserve">лв. за преструктуриране от ЕФГЗ. </w:t>
      </w:r>
    </w:p>
    <w:p w14:paraId="4B2A7A72" w14:textId="77777777" w:rsidR="00AE2AD5" w:rsidRPr="00E26AFD" w:rsidRDefault="00AE2AD5" w:rsidP="00AE2AD5">
      <w:pPr>
        <w:tabs>
          <w:tab w:val="left" w:pos="709"/>
        </w:tabs>
        <w:spacing w:after="120"/>
        <w:contextualSpacing/>
        <w:jc w:val="both"/>
        <w:rPr>
          <w:lang w:eastAsia="bg-BG"/>
        </w:rPr>
      </w:pPr>
      <w:r w:rsidRPr="00E26AFD">
        <w:rPr>
          <w:lang w:eastAsia="bg-BG"/>
        </w:rPr>
        <w:tab/>
        <w:t xml:space="preserve">Предоставените суми (нето) </w:t>
      </w:r>
      <w:r w:rsidRPr="00E26AFD">
        <w:t>по разчети с ЦБ за финансиране на плащания при недостиг на средства по сметки</w:t>
      </w:r>
      <w:r w:rsidRPr="00E26AFD">
        <w:rPr>
          <w:lang w:eastAsia="bg-BG"/>
        </w:rPr>
        <w:t xml:space="preserve"> към 30.06.2023</w:t>
      </w:r>
      <w:r>
        <w:rPr>
          <w:lang w:eastAsia="bg-BG"/>
        </w:rPr>
        <w:t xml:space="preserve"> </w:t>
      </w:r>
      <w:r w:rsidRPr="00E26AFD">
        <w:rPr>
          <w:lang w:eastAsia="bg-BG"/>
        </w:rPr>
        <w:t>г. възлизат на -783,9 млн.</w:t>
      </w:r>
      <w:r>
        <w:rPr>
          <w:lang w:eastAsia="bg-BG"/>
        </w:rPr>
        <w:t xml:space="preserve"> </w:t>
      </w:r>
      <w:r w:rsidRPr="00E26AFD">
        <w:rPr>
          <w:lang w:eastAsia="bg-BG"/>
        </w:rPr>
        <w:t>л</w:t>
      </w:r>
      <w:r>
        <w:rPr>
          <w:lang w:eastAsia="bg-BG"/>
        </w:rPr>
        <w:t>е</w:t>
      </w:r>
      <w:r w:rsidRPr="00E26AFD">
        <w:rPr>
          <w:lang w:eastAsia="bg-BG"/>
        </w:rPr>
        <w:t>в</w:t>
      </w:r>
      <w:r>
        <w:rPr>
          <w:lang w:eastAsia="bg-BG"/>
        </w:rPr>
        <w:t>а</w:t>
      </w:r>
      <w:r w:rsidRPr="00E26AFD">
        <w:rPr>
          <w:lang w:eastAsia="bg-BG"/>
        </w:rPr>
        <w:t xml:space="preserve">. </w:t>
      </w:r>
    </w:p>
    <w:p w14:paraId="37A831E5" w14:textId="77777777" w:rsidR="00AE2AD5" w:rsidRPr="00E26AFD" w:rsidRDefault="00AE2AD5" w:rsidP="00AE2AD5">
      <w:pPr>
        <w:tabs>
          <w:tab w:val="left" w:pos="709"/>
        </w:tabs>
        <w:spacing w:after="120"/>
        <w:contextualSpacing/>
        <w:jc w:val="both"/>
      </w:pPr>
    </w:p>
    <w:p w14:paraId="4A8EE6CC" w14:textId="77777777" w:rsidR="00AE2AD5" w:rsidRPr="0055349C" w:rsidRDefault="00AE2AD5" w:rsidP="00AE2AD5">
      <w:pPr>
        <w:tabs>
          <w:tab w:val="left" w:pos="540"/>
        </w:tabs>
        <w:spacing w:before="120"/>
        <w:ind w:firstLine="567"/>
        <w:jc w:val="both"/>
        <w:rPr>
          <w:color w:val="0070C0"/>
        </w:rPr>
      </w:pPr>
      <w:r w:rsidRPr="0055349C">
        <w:rPr>
          <w:color w:val="0070C0"/>
          <w:lang w:eastAsia="bg-BG"/>
        </w:rPr>
        <w:tab/>
      </w:r>
    </w:p>
    <w:p w14:paraId="6738FA52" w14:textId="77777777" w:rsidR="00AE2AD5" w:rsidRPr="001B446F" w:rsidRDefault="00AE2AD5" w:rsidP="00AE2AD5">
      <w:pPr>
        <w:pStyle w:val="Heading1"/>
        <w:numPr>
          <w:ilvl w:val="1"/>
          <w:numId w:val="9"/>
        </w:numPr>
        <w:spacing w:after="120"/>
        <w:ind w:left="792" w:right="-115" w:hanging="432"/>
        <w:jc w:val="both"/>
        <w:rPr>
          <w:sz w:val="24"/>
        </w:rPr>
      </w:pPr>
      <w:bookmarkStart w:id="39" w:name="_Toc83045529"/>
      <w:r w:rsidRPr="001B446F">
        <w:rPr>
          <w:sz w:val="24"/>
        </w:rPr>
        <w:t>Сметка за средствата от Европейския съюз на Национален фонд към Министерство на финансите</w:t>
      </w:r>
      <w:bookmarkEnd w:id="39"/>
    </w:p>
    <w:p w14:paraId="0FE8104E" w14:textId="77777777" w:rsidR="00AE2AD5" w:rsidRPr="001B1E46" w:rsidRDefault="00AE2AD5" w:rsidP="00301C17">
      <w:pPr>
        <w:ind w:firstLine="567"/>
        <w:jc w:val="both"/>
        <w:rPr>
          <w:bCs/>
          <w:color w:val="0070C0"/>
        </w:rPr>
      </w:pPr>
      <w:r w:rsidRPr="00860E18">
        <w:rPr>
          <w:bCs/>
        </w:rPr>
        <w:t>По сметките на НФ към 3</w:t>
      </w:r>
      <w:r w:rsidRPr="00860E18">
        <w:rPr>
          <w:bCs/>
          <w:lang w:val="ru-RU"/>
        </w:rPr>
        <w:t>0</w:t>
      </w:r>
      <w:r w:rsidRPr="00860E18">
        <w:rPr>
          <w:bCs/>
        </w:rPr>
        <w:t>.</w:t>
      </w:r>
      <w:r w:rsidRPr="00860E18">
        <w:rPr>
          <w:bCs/>
          <w:lang w:val="ru-RU"/>
        </w:rPr>
        <w:t>06</w:t>
      </w:r>
      <w:r w:rsidRPr="00860E18">
        <w:rPr>
          <w:bCs/>
        </w:rPr>
        <w:t>.2023 г. са постъпили приходи (нето) в размер на 790</w:t>
      </w:r>
      <w:r>
        <w:rPr>
          <w:bCs/>
        </w:rPr>
        <w:t>,</w:t>
      </w:r>
      <w:r w:rsidRPr="00860E18">
        <w:rPr>
          <w:bCs/>
        </w:rPr>
        <w:t>7</w:t>
      </w:r>
      <w:r w:rsidRPr="001B446F">
        <w:rPr>
          <w:bCs/>
          <w:lang w:val="ru-RU"/>
        </w:rPr>
        <w:t xml:space="preserve"> </w:t>
      </w:r>
      <w:r w:rsidRPr="00860E18">
        <w:rPr>
          <w:bCs/>
        </w:rPr>
        <w:t>млн.</w:t>
      </w:r>
      <w:r>
        <w:rPr>
          <w:bCs/>
        </w:rPr>
        <w:t> </w:t>
      </w:r>
      <w:r w:rsidRPr="00860E18">
        <w:rPr>
          <w:bCs/>
        </w:rPr>
        <w:t>лв</w:t>
      </w:r>
      <w:r>
        <w:rPr>
          <w:bCs/>
        </w:rPr>
        <w:t>.</w:t>
      </w:r>
      <w:r w:rsidRPr="00860E18">
        <w:rPr>
          <w:bCs/>
        </w:rPr>
        <w:t xml:space="preserve"> по програмите, съфинансирани от Европейския фонд за регионално развитие, Европейския социален фонд (включително Инициативата за младежка заетост), Кохезионния фонд и Фонда за европейско подпомагане на най-нуждаещите се лица (ФЕПНЛ) на ЕС за финансовата рамка, както</w:t>
      </w:r>
      <w:r>
        <w:rPr>
          <w:bCs/>
        </w:rPr>
        <w:t xml:space="preserve"> и от</w:t>
      </w:r>
      <w:r w:rsidRPr="00860E18">
        <w:rPr>
          <w:bCs/>
        </w:rPr>
        <w:t xml:space="preserve"> Европейския социален фонд+, двустранните програми за трансгранично сътрудничество по външните граници на EС (ПТСВГ), ФМ на ЕИП и НФМ, като в тази сума са включени и отразените (нето) в отчетността на НФ операции по постъпването по банковите бюджетни сметки на Министерство на регионалното развитие и благоустройството (МРРБ) на чуждото финансиране по ПТСВГ и изплатените средства от получения ресурс към бенефициенти извън страната.</w:t>
      </w:r>
    </w:p>
    <w:p w14:paraId="54C6451F" w14:textId="77777777" w:rsidR="00AE2AD5" w:rsidRPr="001B1E46" w:rsidRDefault="00AE2AD5" w:rsidP="00301C17">
      <w:pPr>
        <w:ind w:firstLine="567"/>
        <w:jc w:val="both"/>
        <w:rPr>
          <w:bCs/>
          <w:color w:val="0070C0"/>
        </w:rPr>
      </w:pPr>
      <w:r w:rsidRPr="00F00B81">
        <w:rPr>
          <w:bCs/>
        </w:rPr>
        <w:t>Извършените разходи (нето) за периода с натрупване чрез сметките на НФ възлизат на 267</w:t>
      </w:r>
      <w:r>
        <w:rPr>
          <w:bCs/>
        </w:rPr>
        <w:t>,</w:t>
      </w:r>
      <w:r w:rsidRPr="00F00B81">
        <w:rPr>
          <w:bCs/>
        </w:rPr>
        <w:t>4 млн. лева. По видове разходи изпълнението е както следва: 86</w:t>
      </w:r>
      <w:r>
        <w:rPr>
          <w:bCs/>
        </w:rPr>
        <w:t>,</w:t>
      </w:r>
      <w:r w:rsidRPr="00F00B81">
        <w:rPr>
          <w:bCs/>
        </w:rPr>
        <w:t>58</w:t>
      </w:r>
      <w:r>
        <w:rPr>
          <w:bCs/>
        </w:rPr>
        <w:t xml:space="preserve"> </w:t>
      </w:r>
      <w:r w:rsidRPr="00F00B81">
        <w:rPr>
          <w:bCs/>
        </w:rPr>
        <w:t>% от общата стойност са капиталови трансфери, 8</w:t>
      </w:r>
      <w:r>
        <w:rPr>
          <w:bCs/>
        </w:rPr>
        <w:t>,</w:t>
      </w:r>
      <w:r w:rsidRPr="00F00B81">
        <w:rPr>
          <w:bCs/>
        </w:rPr>
        <w:t>41</w:t>
      </w:r>
      <w:r>
        <w:rPr>
          <w:bCs/>
        </w:rPr>
        <w:t xml:space="preserve"> </w:t>
      </w:r>
      <w:r w:rsidRPr="00F00B81">
        <w:rPr>
          <w:bCs/>
        </w:rPr>
        <w:t>% са субсидии, 5</w:t>
      </w:r>
      <w:r>
        <w:rPr>
          <w:bCs/>
        </w:rPr>
        <w:t>,</w:t>
      </w:r>
      <w:r w:rsidRPr="00F00B81">
        <w:rPr>
          <w:bCs/>
        </w:rPr>
        <w:t>01</w:t>
      </w:r>
      <w:r>
        <w:rPr>
          <w:bCs/>
        </w:rPr>
        <w:t xml:space="preserve"> </w:t>
      </w:r>
      <w:r w:rsidRPr="00F00B81">
        <w:rPr>
          <w:bCs/>
        </w:rPr>
        <w:t>% предоставени текущи и капиталови трансфери за чужбина и 0</w:t>
      </w:r>
      <w:r>
        <w:rPr>
          <w:bCs/>
        </w:rPr>
        <w:t>,</w:t>
      </w:r>
      <w:r w:rsidRPr="00F00B81">
        <w:rPr>
          <w:bCs/>
        </w:rPr>
        <w:t>001</w:t>
      </w:r>
      <w:r>
        <w:rPr>
          <w:bCs/>
        </w:rPr>
        <w:t xml:space="preserve"> </w:t>
      </w:r>
      <w:r w:rsidRPr="00F00B81">
        <w:rPr>
          <w:bCs/>
        </w:rPr>
        <w:t>% - издръжка.</w:t>
      </w:r>
    </w:p>
    <w:p w14:paraId="5556865C" w14:textId="77777777" w:rsidR="00AE2AD5" w:rsidRPr="00ED0E43" w:rsidRDefault="00AE2AD5" w:rsidP="00301C17">
      <w:pPr>
        <w:ind w:firstLine="567"/>
        <w:jc w:val="both"/>
        <w:rPr>
          <w:bCs/>
        </w:rPr>
      </w:pPr>
      <w:r w:rsidRPr="00ED0E43">
        <w:rPr>
          <w:bCs/>
        </w:rPr>
        <w:t>Трансферите (нето), временните безлихвени заеми (нето) и временна възмездна финансова помощ за разглеждания период са на стойност 556</w:t>
      </w:r>
      <w:r>
        <w:rPr>
          <w:bCs/>
        </w:rPr>
        <w:t>,</w:t>
      </w:r>
      <w:r w:rsidRPr="00ED0E43">
        <w:rPr>
          <w:bCs/>
        </w:rPr>
        <w:t xml:space="preserve">9 млн. лв. (включват предоставените трансфери към бенефициенти по Оперативните програми (ОП) на ЕС - програмен период 2014 – 2020 г., ПТСВГ за периода 2014 – 2020 г., </w:t>
      </w:r>
      <w:r>
        <w:rPr>
          <w:bCs/>
        </w:rPr>
        <w:t>Националния план за</w:t>
      </w:r>
      <w:r w:rsidRPr="00ED0E43">
        <w:rPr>
          <w:bCs/>
        </w:rPr>
        <w:t xml:space="preserve"> възстановяване и устойчивост</w:t>
      </w:r>
      <w:r>
        <w:rPr>
          <w:bCs/>
        </w:rPr>
        <w:t xml:space="preserve"> (НПВУ)</w:t>
      </w:r>
      <w:r w:rsidRPr="00ED0E43">
        <w:rPr>
          <w:bCs/>
        </w:rPr>
        <w:t>, ФМ на ЕИП 2014–2021 г. и НФМ 2014–2021 г., както и възстановени трансфери от бенефициенти-бюджетни организации за неусвоени суми по приключили проекти, за недопустими разходи или други надплащания. В консолидираната отчетност на НФ са отразени и трансфери (нето) към бенефициенти – бюджетни организации, които са за сметка на средства, предоставени от държавите-партньори по ПТСВГ.</w:t>
      </w:r>
    </w:p>
    <w:p w14:paraId="736D57ED" w14:textId="77777777" w:rsidR="00AE2AD5" w:rsidRPr="001B1E46" w:rsidRDefault="00AE2AD5" w:rsidP="00301C17">
      <w:pPr>
        <w:ind w:firstLine="567"/>
        <w:jc w:val="both"/>
        <w:rPr>
          <w:bCs/>
          <w:color w:val="0070C0"/>
        </w:rPr>
      </w:pPr>
      <w:r w:rsidRPr="00B70CCD">
        <w:rPr>
          <w:bCs/>
        </w:rPr>
        <w:t>Във връзка с изпълнение на програмите и проектите по програмен период 2014 – 2020 г., 2021 – 2027 г., ФМ на ЕИП и НФМ и НПВУ по сметките на НФ са получени трансфери от централния бюджет на стойност 125</w:t>
      </w:r>
      <w:r>
        <w:rPr>
          <w:bCs/>
        </w:rPr>
        <w:t>,</w:t>
      </w:r>
      <w:r w:rsidRPr="00B70CCD">
        <w:rPr>
          <w:bCs/>
        </w:rPr>
        <w:t>0 млн. лева.</w:t>
      </w:r>
    </w:p>
    <w:p w14:paraId="44D31D80" w14:textId="77777777" w:rsidR="00AE2AD5" w:rsidRPr="00AE062F" w:rsidRDefault="00AE2AD5" w:rsidP="00301C17">
      <w:pPr>
        <w:ind w:firstLine="567"/>
        <w:jc w:val="both"/>
        <w:rPr>
          <w:bCs/>
        </w:rPr>
      </w:pPr>
      <w:r w:rsidRPr="00AE062F">
        <w:rPr>
          <w:bCs/>
        </w:rPr>
        <w:t>Общата сума от други приходи (корективи за касови постъпления, отчетени за дължими суми от бенефициенти), отчетени по сметката за средства от ЕС на НФ, са в размер на 0</w:t>
      </w:r>
      <w:r>
        <w:rPr>
          <w:bCs/>
        </w:rPr>
        <w:t>,</w:t>
      </w:r>
      <w:r w:rsidRPr="00AE062F">
        <w:rPr>
          <w:bCs/>
        </w:rPr>
        <w:t>3 млн.</w:t>
      </w:r>
      <w:r>
        <w:rPr>
          <w:bCs/>
        </w:rPr>
        <w:t> </w:t>
      </w:r>
      <w:r w:rsidRPr="00AE062F">
        <w:rPr>
          <w:bCs/>
        </w:rPr>
        <w:t>лева.</w:t>
      </w:r>
    </w:p>
    <w:p w14:paraId="721FA1D2" w14:textId="77777777" w:rsidR="00AE2AD5" w:rsidRPr="00E02917" w:rsidRDefault="00AE2AD5" w:rsidP="00301C17">
      <w:pPr>
        <w:spacing w:before="120"/>
        <w:ind w:firstLine="567"/>
        <w:jc w:val="both"/>
        <w:rPr>
          <w:b/>
          <w:bCs/>
        </w:rPr>
      </w:pPr>
      <w:r w:rsidRPr="00E02917">
        <w:rPr>
          <w:b/>
          <w:bCs/>
        </w:rPr>
        <w:t>Структурни и Кохезионен фондове (СКФ) 2007 – 2013 г.</w:t>
      </w:r>
    </w:p>
    <w:p w14:paraId="428FEBD3" w14:textId="77777777" w:rsidR="00AE2AD5" w:rsidRPr="00E02917" w:rsidRDefault="00AE2AD5" w:rsidP="00301C17">
      <w:pPr>
        <w:ind w:firstLine="567"/>
        <w:jc w:val="both"/>
      </w:pPr>
      <w:r w:rsidRPr="00E02917">
        <w:rPr>
          <w:bCs/>
        </w:rPr>
        <w:t>През отчетния период са възстановени суми (нето) от бенефициенти на стойност 0</w:t>
      </w:r>
      <w:r>
        <w:rPr>
          <w:bCs/>
        </w:rPr>
        <w:t>,</w:t>
      </w:r>
      <w:r w:rsidRPr="00E02917">
        <w:rPr>
          <w:bCs/>
        </w:rPr>
        <w:t>02 млн.</w:t>
      </w:r>
      <w:r>
        <w:rPr>
          <w:bCs/>
        </w:rPr>
        <w:t> </w:t>
      </w:r>
      <w:r w:rsidRPr="00E02917">
        <w:rPr>
          <w:bCs/>
        </w:rPr>
        <w:t>лв., а възстановеното авансово финансиране по реда на ДДС6/2011 г</w:t>
      </w:r>
      <w:r w:rsidRPr="00E02917">
        <w:t xml:space="preserve">. </w:t>
      </w:r>
      <w:r w:rsidRPr="00E02917">
        <w:rPr>
          <w:bCs/>
        </w:rPr>
        <w:t>е в размер на 0</w:t>
      </w:r>
      <w:r>
        <w:rPr>
          <w:bCs/>
        </w:rPr>
        <w:t>,</w:t>
      </w:r>
      <w:r w:rsidRPr="00E02917">
        <w:rPr>
          <w:bCs/>
        </w:rPr>
        <w:t>7 млн.</w:t>
      </w:r>
      <w:r>
        <w:rPr>
          <w:bCs/>
        </w:rPr>
        <w:t> </w:t>
      </w:r>
      <w:r w:rsidRPr="00E02917">
        <w:rPr>
          <w:bCs/>
        </w:rPr>
        <w:t>лева.</w:t>
      </w:r>
    </w:p>
    <w:p w14:paraId="2656E548" w14:textId="77777777" w:rsidR="00AE2AD5" w:rsidRPr="003038A0" w:rsidRDefault="00AE2AD5" w:rsidP="00301C17">
      <w:pPr>
        <w:spacing w:before="120"/>
        <w:ind w:firstLine="567"/>
        <w:jc w:val="both"/>
        <w:rPr>
          <w:b/>
          <w:bCs/>
        </w:rPr>
      </w:pPr>
      <w:r w:rsidRPr="003038A0">
        <w:rPr>
          <w:bCs/>
        </w:rPr>
        <w:t xml:space="preserve"> </w:t>
      </w:r>
      <w:r w:rsidRPr="003038A0">
        <w:rPr>
          <w:b/>
          <w:bCs/>
        </w:rPr>
        <w:t>Европейски фонд за регионално развитие, Европейски социален фонд (включително Инициативата за младежка заетост), Кохезионния фонд и ФЕПНЛ на Европейския съюз за финансова рамка 2014 – 2020 г.</w:t>
      </w:r>
    </w:p>
    <w:p w14:paraId="6EA6B6A6" w14:textId="77777777" w:rsidR="00AE2AD5" w:rsidRPr="003038A0" w:rsidRDefault="00AE2AD5" w:rsidP="00301C17">
      <w:pPr>
        <w:ind w:firstLine="567"/>
        <w:jc w:val="both"/>
        <w:rPr>
          <w:bCs/>
        </w:rPr>
      </w:pPr>
      <w:r w:rsidRPr="003038A0">
        <w:rPr>
          <w:bCs/>
        </w:rPr>
        <w:tab/>
        <w:t>Общо получените средства (нето) от ЕК за периода са в размер на 524</w:t>
      </w:r>
      <w:r>
        <w:rPr>
          <w:bCs/>
        </w:rPr>
        <w:t>,</w:t>
      </w:r>
      <w:r w:rsidRPr="003038A0">
        <w:rPr>
          <w:bCs/>
        </w:rPr>
        <w:t>8 млн. лв. (в тях влизат и получените приходи по REACT-EU в размер на 34</w:t>
      </w:r>
      <w:r>
        <w:rPr>
          <w:bCs/>
        </w:rPr>
        <w:t>,</w:t>
      </w:r>
      <w:r w:rsidRPr="003038A0">
        <w:rPr>
          <w:bCs/>
        </w:rPr>
        <w:t>9 млн. лева) и са разпределени както следва:</w:t>
      </w:r>
    </w:p>
    <w:p w14:paraId="0CB9E0B0" w14:textId="77777777" w:rsidR="00AE2AD5" w:rsidRPr="0007031B" w:rsidRDefault="00AE2AD5" w:rsidP="00301C17">
      <w:pPr>
        <w:numPr>
          <w:ilvl w:val="0"/>
          <w:numId w:val="11"/>
        </w:numPr>
        <w:tabs>
          <w:tab w:val="clear" w:pos="1101"/>
          <w:tab w:val="num" w:pos="709"/>
        </w:tabs>
        <w:ind w:left="786"/>
        <w:jc w:val="both"/>
        <w:rPr>
          <w:bCs/>
        </w:rPr>
      </w:pPr>
      <w:r w:rsidRPr="0007031B">
        <w:rPr>
          <w:bCs/>
        </w:rPr>
        <w:t>ОП „Транспорт и транспортна инфраструктура” – 137</w:t>
      </w:r>
      <w:r>
        <w:rPr>
          <w:bCs/>
        </w:rPr>
        <w:t>,</w:t>
      </w:r>
      <w:r w:rsidRPr="0007031B">
        <w:rPr>
          <w:bCs/>
        </w:rPr>
        <w:t>6 млн. лв.;</w:t>
      </w:r>
    </w:p>
    <w:p w14:paraId="51ED8672" w14:textId="77777777" w:rsidR="00AE2AD5" w:rsidRPr="007817EE" w:rsidRDefault="00AE2AD5" w:rsidP="00301C17">
      <w:pPr>
        <w:numPr>
          <w:ilvl w:val="0"/>
          <w:numId w:val="11"/>
        </w:numPr>
        <w:tabs>
          <w:tab w:val="clear" w:pos="1101"/>
          <w:tab w:val="num" w:pos="709"/>
        </w:tabs>
        <w:ind w:left="786"/>
        <w:jc w:val="both"/>
        <w:rPr>
          <w:bCs/>
        </w:rPr>
      </w:pPr>
      <w:r w:rsidRPr="007817EE">
        <w:rPr>
          <w:bCs/>
        </w:rPr>
        <w:t>ОП „Околна среда 2014 – 2020 г.“ – 85</w:t>
      </w:r>
      <w:r>
        <w:rPr>
          <w:bCs/>
        </w:rPr>
        <w:t>,</w:t>
      </w:r>
      <w:r w:rsidRPr="007817EE">
        <w:rPr>
          <w:bCs/>
        </w:rPr>
        <w:t>3 млн. лв.;</w:t>
      </w:r>
    </w:p>
    <w:p w14:paraId="204B9A55" w14:textId="77777777" w:rsidR="00AE2AD5" w:rsidRPr="004C4634" w:rsidRDefault="00AE2AD5" w:rsidP="00301C17">
      <w:pPr>
        <w:numPr>
          <w:ilvl w:val="0"/>
          <w:numId w:val="11"/>
        </w:numPr>
        <w:tabs>
          <w:tab w:val="clear" w:pos="1101"/>
          <w:tab w:val="num" w:pos="709"/>
        </w:tabs>
        <w:ind w:left="786"/>
        <w:jc w:val="both"/>
        <w:rPr>
          <w:bCs/>
        </w:rPr>
      </w:pPr>
      <w:r w:rsidRPr="004C4634">
        <w:rPr>
          <w:bCs/>
        </w:rPr>
        <w:t>ОП „Развитие на човешките ресурси 2014 - 2020 г.” – 73</w:t>
      </w:r>
      <w:r>
        <w:rPr>
          <w:bCs/>
        </w:rPr>
        <w:t>,</w:t>
      </w:r>
      <w:r w:rsidRPr="004C4634">
        <w:rPr>
          <w:bCs/>
        </w:rPr>
        <w:t>8 млн. лв.</w:t>
      </w:r>
      <w:r w:rsidRPr="004C4634">
        <w:t xml:space="preserve"> (</w:t>
      </w:r>
      <w:r w:rsidRPr="004C4634">
        <w:rPr>
          <w:bCs/>
        </w:rPr>
        <w:t>вкл. REACT-EU в размер на 13</w:t>
      </w:r>
      <w:r>
        <w:rPr>
          <w:bCs/>
        </w:rPr>
        <w:t>,</w:t>
      </w:r>
      <w:r w:rsidRPr="004C4634">
        <w:rPr>
          <w:bCs/>
        </w:rPr>
        <w:t>7 млн. лева);</w:t>
      </w:r>
    </w:p>
    <w:p w14:paraId="0F6C7D55" w14:textId="77777777" w:rsidR="00AE2AD5" w:rsidRDefault="00AE2AD5" w:rsidP="00301C17">
      <w:pPr>
        <w:numPr>
          <w:ilvl w:val="0"/>
          <w:numId w:val="11"/>
        </w:numPr>
        <w:tabs>
          <w:tab w:val="clear" w:pos="1101"/>
          <w:tab w:val="num" w:pos="709"/>
        </w:tabs>
        <w:ind w:left="786"/>
        <w:jc w:val="both"/>
        <w:rPr>
          <w:bCs/>
        </w:rPr>
      </w:pPr>
      <w:r w:rsidRPr="004C4634">
        <w:rPr>
          <w:bCs/>
        </w:rPr>
        <w:t>Инициативата за младежка заетост – 3</w:t>
      </w:r>
      <w:r>
        <w:rPr>
          <w:bCs/>
        </w:rPr>
        <w:t>,</w:t>
      </w:r>
      <w:r w:rsidRPr="004C4634">
        <w:rPr>
          <w:bCs/>
        </w:rPr>
        <w:t>6 млн. лв.;</w:t>
      </w:r>
    </w:p>
    <w:p w14:paraId="5010E02C" w14:textId="77777777" w:rsidR="00AE2AD5" w:rsidRDefault="00AE2AD5" w:rsidP="00301C17">
      <w:pPr>
        <w:numPr>
          <w:ilvl w:val="0"/>
          <w:numId w:val="11"/>
        </w:numPr>
        <w:tabs>
          <w:tab w:val="clear" w:pos="1101"/>
          <w:tab w:val="num" w:pos="709"/>
        </w:tabs>
        <w:ind w:left="786"/>
        <w:jc w:val="both"/>
        <w:rPr>
          <w:bCs/>
        </w:rPr>
      </w:pPr>
      <w:r w:rsidRPr="00693378">
        <w:rPr>
          <w:bCs/>
        </w:rPr>
        <w:t xml:space="preserve">ОП „Иновации и конкурентоспособност” – </w:t>
      </w:r>
      <w:r>
        <w:rPr>
          <w:bCs/>
        </w:rPr>
        <w:t>9</w:t>
      </w:r>
      <w:r w:rsidRPr="00693378">
        <w:rPr>
          <w:bCs/>
        </w:rPr>
        <w:t>0</w:t>
      </w:r>
      <w:r>
        <w:rPr>
          <w:bCs/>
        </w:rPr>
        <w:t>,3</w:t>
      </w:r>
      <w:r w:rsidRPr="00693378">
        <w:rPr>
          <w:bCs/>
        </w:rPr>
        <w:t xml:space="preserve"> млн. лв. (вкл. REACT-EU в размер на </w:t>
      </w:r>
      <w:r>
        <w:rPr>
          <w:bCs/>
        </w:rPr>
        <w:t>20,8</w:t>
      </w:r>
      <w:r w:rsidRPr="00693378">
        <w:rPr>
          <w:bCs/>
        </w:rPr>
        <w:t xml:space="preserve"> млн. лева);</w:t>
      </w:r>
    </w:p>
    <w:p w14:paraId="3274DDF7" w14:textId="77777777" w:rsidR="00AE2AD5" w:rsidRDefault="00AE2AD5" w:rsidP="00301C17">
      <w:pPr>
        <w:numPr>
          <w:ilvl w:val="0"/>
          <w:numId w:val="11"/>
        </w:numPr>
        <w:tabs>
          <w:tab w:val="clear" w:pos="1101"/>
          <w:tab w:val="num" w:pos="709"/>
        </w:tabs>
        <w:ind w:left="786"/>
        <w:jc w:val="both"/>
        <w:rPr>
          <w:bCs/>
        </w:rPr>
      </w:pPr>
      <w:r w:rsidRPr="00EB550B">
        <w:rPr>
          <w:bCs/>
        </w:rPr>
        <w:t xml:space="preserve">ОП „Добро управление” – </w:t>
      </w:r>
      <w:r>
        <w:rPr>
          <w:bCs/>
        </w:rPr>
        <w:t>10,6</w:t>
      </w:r>
      <w:r w:rsidRPr="00EB550B">
        <w:rPr>
          <w:bCs/>
        </w:rPr>
        <w:t xml:space="preserve"> млн. лв.;</w:t>
      </w:r>
    </w:p>
    <w:p w14:paraId="48740860" w14:textId="77777777" w:rsidR="00AE2AD5" w:rsidRPr="00AA3A0A" w:rsidRDefault="00AE2AD5" w:rsidP="00301C17">
      <w:pPr>
        <w:numPr>
          <w:ilvl w:val="0"/>
          <w:numId w:val="11"/>
        </w:numPr>
        <w:tabs>
          <w:tab w:val="clear" w:pos="1101"/>
          <w:tab w:val="num" w:pos="709"/>
        </w:tabs>
        <w:ind w:left="786"/>
        <w:jc w:val="both"/>
        <w:rPr>
          <w:bCs/>
        </w:rPr>
      </w:pPr>
      <w:r w:rsidRPr="00AA3A0A">
        <w:rPr>
          <w:bCs/>
        </w:rPr>
        <w:t>ОП за храни и/или основно материално подпомагане от Фонда за европейско подпомагане на най-нуждаещите се лица в България за периода 2014 – 2020 г. – 2</w:t>
      </w:r>
      <w:r>
        <w:rPr>
          <w:bCs/>
        </w:rPr>
        <w:t>,</w:t>
      </w:r>
      <w:r w:rsidRPr="00AA3A0A">
        <w:rPr>
          <w:bCs/>
        </w:rPr>
        <w:t>9 млн. лева;</w:t>
      </w:r>
    </w:p>
    <w:p w14:paraId="267214D5" w14:textId="77777777" w:rsidR="00AE2AD5" w:rsidRPr="004C4634" w:rsidRDefault="00AE2AD5" w:rsidP="00301C17">
      <w:pPr>
        <w:numPr>
          <w:ilvl w:val="0"/>
          <w:numId w:val="11"/>
        </w:numPr>
        <w:tabs>
          <w:tab w:val="clear" w:pos="1101"/>
          <w:tab w:val="num" w:pos="709"/>
        </w:tabs>
        <w:ind w:left="786"/>
        <w:jc w:val="both"/>
        <w:rPr>
          <w:bCs/>
        </w:rPr>
      </w:pPr>
      <w:r w:rsidRPr="004C4634">
        <w:rPr>
          <w:bCs/>
        </w:rPr>
        <w:t>ОП „Региони в растеж“ –74</w:t>
      </w:r>
      <w:r>
        <w:rPr>
          <w:bCs/>
        </w:rPr>
        <w:t>,</w:t>
      </w:r>
      <w:r w:rsidRPr="004C4634">
        <w:rPr>
          <w:bCs/>
        </w:rPr>
        <w:t>6 млн. лв. и</w:t>
      </w:r>
    </w:p>
    <w:p w14:paraId="0195ED93" w14:textId="77777777" w:rsidR="00AE2AD5" w:rsidRPr="001E397B" w:rsidRDefault="00AE2AD5" w:rsidP="00301C17">
      <w:pPr>
        <w:numPr>
          <w:ilvl w:val="0"/>
          <w:numId w:val="11"/>
        </w:numPr>
        <w:tabs>
          <w:tab w:val="clear" w:pos="1101"/>
          <w:tab w:val="num" w:pos="709"/>
        </w:tabs>
        <w:ind w:left="786"/>
        <w:jc w:val="both"/>
        <w:rPr>
          <w:bCs/>
        </w:rPr>
      </w:pPr>
      <w:r w:rsidRPr="001E397B">
        <w:rPr>
          <w:bCs/>
        </w:rPr>
        <w:t>ОП „Наука и образование за интелигентен растеж” – 46</w:t>
      </w:r>
      <w:r>
        <w:rPr>
          <w:bCs/>
        </w:rPr>
        <w:t>,</w:t>
      </w:r>
      <w:r w:rsidRPr="001E397B">
        <w:rPr>
          <w:bCs/>
        </w:rPr>
        <w:t>1 млн. лв. (вкл. REACT-EU в размер на 0</w:t>
      </w:r>
      <w:r>
        <w:rPr>
          <w:bCs/>
        </w:rPr>
        <w:t>,</w:t>
      </w:r>
      <w:r w:rsidRPr="001E397B">
        <w:rPr>
          <w:bCs/>
        </w:rPr>
        <w:t>4 млн. лева).</w:t>
      </w:r>
    </w:p>
    <w:p w14:paraId="6FC7CABC" w14:textId="42966501" w:rsidR="00AE2AD5" w:rsidRPr="007218B8" w:rsidRDefault="00AE2AD5" w:rsidP="00385BBA">
      <w:pPr>
        <w:tabs>
          <w:tab w:val="num" w:pos="709"/>
        </w:tabs>
        <w:spacing w:before="120"/>
        <w:ind w:firstLine="567"/>
        <w:jc w:val="both"/>
        <w:rPr>
          <w:bCs/>
        </w:rPr>
      </w:pPr>
      <w:r w:rsidRPr="007218B8">
        <w:rPr>
          <w:bCs/>
        </w:rPr>
        <w:t xml:space="preserve">Направените разходи (нето) по Оперативни програми и трансферите (нето) към бюджетни организации и операции с активи към края на </w:t>
      </w:r>
      <w:r>
        <w:rPr>
          <w:bCs/>
        </w:rPr>
        <w:t>първото полугодие</w:t>
      </w:r>
      <w:r w:rsidRPr="007218B8">
        <w:rPr>
          <w:bCs/>
        </w:rPr>
        <w:t xml:space="preserve"> са на стойност 732</w:t>
      </w:r>
      <w:r>
        <w:rPr>
          <w:bCs/>
        </w:rPr>
        <w:t>,</w:t>
      </w:r>
      <w:r w:rsidRPr="007218B8">
        <w:rPr>
          <w:bCs/>
        </w:rPr>
        <w:t>6 млн. лв. (в тях влизат и извършените разходи по REACT-EU в размер на 48</w:t>
      </w:r>
      <w:r>
        <w:rPr>
          <w:bCs/>
        </w:rPr>
        <w:t>,</w:t>
      </w:r>
      <w:r w:rsidRPr="007218B8">
        <w:rPr>
          <w:bCs/>
        </w:rPr>
        <w:t>5 млн. лева), като разпределението по Оперативни програми е следното:</w:t>
      </w:r>
    </w:p>
    <w:p w14:paraId="5EB98030" w14:textId="77777777" w:rsidR="00AE2AD5" w:rsidRPr="00520672" w:rsidRDefault="00AE2AD5" w:rsidP="006207FA">
      <w:pPr>
        <w:numPr>
          <w:ilvl w:val="0"/>
          <w:numId w:val="11"/>
        </w:numPr>
        <w:tabs>
          <w:tab w:val="clear" w:pos="1101"/>
          <w:tab w:val="num" w:pos="709"/>
        </w:tabs>
        <w:ind w:left="709" w:hanging="283"/>
        <w:jc w:val="both"/>
        <w:rPr>
          <w:bCs/>
        </w:rPr>
      </w:pPr>
      <w:r w:rsidRPr="00520672">
        <w:rPr>
          <w:bCs/>
        </w:rPr>
        <w:t>ОП „Развитие на човешките ресурси 2014 - 2020 г.” – 98</w:t>
      </w:r>
      <w:r>
        <w:rPr>
          <w:bCs/>
        </w:rPr>
        <w:t>,</w:t>
      </w:r>
      <w:r w:rsidRPr="00520672">
        <w:rPr>
          <w:bCs/>
        </w:rPr>
        <w:t>8 млн. лв.</w:t>
      </w:r>
      <w:r w:rsidRPr="00520672">
        <w:t xml:space="preserve"> </w:t>
      </w:r>
      <w:r w:rsidRPr="00520672">
        <w:rPr>
          <w:bCs/>
        </w:rPr>
        <w:t>(вкл. REACT-EU в размер на 31</w:t>
      </w:r>
      <w:r>
        <w:rPr>
          <w:bCs/>
        </w:rPr>
        <w:t>,</w:t>
      </w:r>
      <w:r w:rsidRPr="00520672">
        <w:rPr>
          <w:bCs/>
        </w:rPr>
        <w:t>8 млн. лева);</w:t>
      </w:r>
    </w:p>
    <w:p w14:paraId="0D779A6A" w14:textId="77777777" w:rsidR="00AE2AD5" w:rsidRPr="00B63141" w:rsidRDefault="00AE2AD5" w:rsidP="006207FA">
      <w:pPr>
        <w:numPr>
          <w:ilvl w:val="0"/>
          <w:numId w:val="11"/>
        </w:numPr>
        <w:tabs>
          <w:tab w:val="clear" w:pos="1101"/>
          <w:tab w:val="num" w:pos="709"/>
        </w:tabs>
        <w:ind w:left="709" w:hanging="283"/>
        <w:jc w:val="both"/>
        <w:rPr>
          <w:bCs/>
        </w:rPr>
      </w:pPr>
      <w:r w:rsidRPr="00B63141">
        <w:rPr>
          <w:bCs/>
        </w:rPr>
        <w:t xml:space="preserve">Инициативата за младежка заетост – </w:t>
      </w:r>
      <w:r w:rsidRPr="00B63141">
        <w:rPr>
          <w:b/>
          <w:bCs/>
          <w:u w:val="single"/>
        </w:rPr>
        <w:t>възстановени</w:t>
      </w:r>
      <w:r w:rsidRPr="00B63141">
        <w:rPr>
          <w:bCs/>
        </w:rPr>
        <w:t xml:space="preserve"> (нето) средства в размер на 1,5 млн. лв.;</w:t>
      </w:r>
    </w:p>
    <w:p w14:paraId="406B9A57" w14:textId="77777777" w:rsidR="00AE2AD5" w:rsidRPr="00B63141" w:rsidRDefault="00AE2AD5" w:rsidP="006207FA">
      <w:pPr>
        <w:numPr>
          <w:ilvl w:val="0"/>
          <w:numId w:val="11"/>
        </w:numPr>
        <w:tabs>
          <w:tab w:val="clear" w:pos="1101"/>
          <w:tab w:val="num" w:pos="709"/>
        </w:tabs>
        <w:ind w:left="709" w:hanging="283"/>
        <w:jc w:val="both"/>
        <w:rPr>
          <w:bCs/>
        </w:rPr>
      </w:pPr>
      <w:r w:rsidRPr="00B63141">
        <w:rPr>
          <w:bCs/>
        </w:rPr>
        <w:t xml:space="preserve">ОП за храни и/или основно материално подпомагане от Фонда за европейско подпомагане на най-нуждаещите се лица в България за периода 2014 – 2020 г. – 1,5 млн. лв. </w:t>
      </w:r>
      <w:r w:rsidRPr="00B63141">
        <w:rPr>
          <w:bCs/>
          <w:lang w:val="ru-RU"/>
        </w:rPr>
        <w:t xml:space="preserve">(вкл. </w:t>
      </w:r>
      <w:r w:rsidRPr="00B63141">
        <w:rPr>
          <w:bCs/>
          <w:lang w:val="en-US"/>
        </w:rPr>
        <w:t>REACT</w:t>
      </w:r>
      <w:r w:rsidRPr="00B63141">
        <w:rPr>
          <w:bCs/>
          <w:lang w:val="ru-RU"/>
        </w:rPr>
        <w:t>-</w:t>
      </w:r>
      <w:r w:rsidRPr="00B63141">
        <w:rPr>
          <w:bCs/>
          <w:lang w:val="en-US"/>
        </w:rPr>
        <w:t>EU</w:t>
      </w:r>
      <w:r w:rsidRPr="00B63141">
        <w:rPr>
          <w:bCs/>
          <w:lang w:val="ru-RU"/>
        </w:rPr>
        <w:t xml:space="preserve"> в размер на </w:t>
      </w:r>
      <w:r w:rsidRPr="00B63141">
        <w:rPr>
          <w:bCs/>
        </w:rPr>
        <w:t>1,2</w:t>
      </w:r>
      <w:r w:rsidRPr="00B63141">
        <w:rPr>
          <w:bCs/>
          <w:lang w:val="ru-RU"/>
        </w:rPr>
        <w:t xml:space="preserve"> млн. лева)</w:t>
      </w:r>
      <w:r w:rsidRPr="00B63141">
        <w:rPr>
          <w:bCs/>
        </w:rPr>
        <w:t>;</w:t>
      </w:r>
    </w:p>
    <w:p w14:paraId="7B0CE088" w14:textId="77777777" w:rsidR="00AE2AD5" w:rsidRPr="00B63141" w:rsidRDefault="00AE2AD5" w:rsidP="006207FA">
      <w:pPr>
        <w:numPr>
          <w:ilvl w:val="0"/>
          <w:numId w:val="11"/>
        </w:numPr>
        <w:tabs>
          <w:tab w:val="clear" w:pos="1101"/>
          <w:tab w:val="num" w:pos="709"/>
        </w:tabs>
        <w:ind w:left="709" w:hanging="283"/>
        <w:jc w:val="both"/>
        <w:rPr>
          <w:bCs/>
        </w:rPr>
      </w:pPr>
      <w:r w:rsidRPr="00B63141">
        <w:rPr>
          <w:bCs/>
        </w:rPr>
        <w:t>ОП „Иновации и конкурентоспособност” – 25,8 млн. лв. (вкл. REACT-EU в размер на 11,7 млн. лева);</w:t>
      </w:r>
    </w:p>
    <w:p w14:paraId="380EB4F2" w14:textId="77777777" w:rsidR="00AE2AD5" w:rsidRPr="007F0B62" w:rsidRDefault="00AE2AD5" w:rsidP="006207FA">
      <w:pPr>
        <w:numPr>
          <w:ilvl w:val="0"/>
          <w:numId w:val="11"/>
        </w:numPr>
        <w:tabs>
          <w:tab w:val="clear" w:pos="1101"/>
          <w:tab w:val="num" w:pos="709"/>
        </w:tabs>
        <w:ind w:left="709" w:hanging="283"/>
        <w:jc w:val="both"/>
        <w:rPr>
          <w:bCs/>
        </w:rPr>
      </w:pPr>
      <w:r w:rsidRPr="007F0B62">
        <w:rPr>
          <w:bCs/>
        </w:rPr>
        <w:t>ОП „Добро управление” – 21</w:t>
      </w:r>
      <w:r>
        <w:rPr>
          <w:bCs/>
        </w:rPr>
        <w:t>,</w:t>
      </w:r>
      <w:r w:rsidRPr="007F0B62">
        <w:rPr>
          <w:bCs/>
        </w:rPr>
        <w:t>3 млн. лв.;</w:t>
      </w:r>
    </w:p>
    <w:p w14:paraId="2740855A" w14:textId="77777777" w:rsidR="00AE2AD5" w:rsidRPr="007F0B62" w:rsidRDefault="00AE2AD5" w:rsidP="006207FA">
      <w:pPr>
        <w:numPr>
          <w:ilvl w:val="0"/>
          <w:numId w:val="11"/>
        </w:numPr>
        <w:tabs>
          <w:tab w:val="clear" w:pos="1101"/>
          <w:tab w:val="num" w:pos="709"/>
        </w:tabs>
        <w:ind w:left="709" w:hanging="283"/>
        <w:jc w:val="both"/>
        <w:rPr>
          <w:bCs/>
        </w:rPr>
      </w:pPr>
      <w:r w:rsidRPr="007F0B62">
        <w:rPr>
          <w:bCs/>
        </w:rPr>
        <w:t>ОП „Региони в растеж“ – 146</w:t>
      </w:r>
      <w:r>
        <w:rPr>
          <w:bCs/>
        </w:rPr>
        <w:t>,</w:t>
      </w:r>
      <w:r w:rsidRPr="007F0B62">
        <w:rPr>
          <w:bCs/>
        </w:rPr>
        <w:t>6 млн. лв.</w:t>
      </w:r>
      <w:r w:rsidRPr="001B446F">
        <w:rPr>
          <w:bCs/>
          <w:lang w:val="ru-RU"/>
        </w:rPr>
        <w:t xml:space="preserve"> </w:t>
      </w:r>
      <w:r w:rsidRPr="007F0B62">
        <w:rPr>
          <w:bCs/>
        </w:rPr>
        <w:t>(вкл. REACT-EU в размер на 2</w:t>
      </w:r>
      <w:r>
        <w:rPr>
          <w:bCs/>
        </w:rPr>
        <w:t>,</w:t>
      </w:r>
      <w:r w:rsidRPr="007F0B62">
        <w:rPr>
          <w:bCs/>
        </w:rPr>
        <w:t>3 млн. лева);</w:t>
      </w:r>
    </w:p>
    <w:p w14:paraId="71489493" w14:textId="77777777" w:rsidR="00AE2AD5" w:rsidRPr="00ED7534" w:rsidRDefault="00AE2AD5" w:rsidP="006207FA">
      <w:pPr>
        <w:numPr>
          <w:ilvl w:val="0"/>
          <w:numId w:val="11"/>
        </w:numPr>
        <w:tabs>
          <w:tab w:val="clear" w:pos="1101"/>
          <w:tab w:val="num" w:pos="709"/>
        </w:tabs>
        <w:ind w:left="709" w:hanging="283"/>
        <w:jc w:val="both"/>
        <w:rPr>
          <w:bCs/>
        </w:rPr>
      </w:pPr>
      <w:r w:rsidRPr="00ED7534">
        <w:rPr>
          <w:bCs/>
        </w:rPr>
        <w:t>ОП „Транспорт и транспортна инфраструктура” – 225</w:t>
      </w:r>
      <w:r>
        <w:rPr>
          <w:bCs/>
        </w:rPr>
        <w:t>,1</w:t>
      </w:r>
      <w:r w:rsidRPr="00ED7534">
        <w:rPr>
          <w:bCs/>
        </w:rPr>
        <w:t xml:space="preserve"> млн. лв.;</w:t>
      </w:r>
    </w:p>
    <w:p w14:paraId="0878C52A" w14:textId="77777777" w:rsidR="00AE2AD5" w:rsidRPr="00012521" w:rsidRDefault="00AE2AD5" w:rsidP="006207FA">
      <w:pPr>
        <w:numPr>
          <w:ilvl w:val="0"/>
          <w:numId w:val="11"/>
        </w:numPr>
        <w:tabs>
          <w:tab w:val="clear" w:pos="1101"/>
          <w:tab w:val="num" w:pos="709"/>
        </w:tabs>
        <w:ind w:left="709" w:hanging="283"/>
        <w:jc w:val="both"/>
        <w:rPr>
          <w:bCs/>
        </w:rPr>
      </w:pPr>
      <w:r w:rsidRPr="00012521">
        <w:rPr>
          <w:bCs/>
        </w:rPr>
        <w:t>ОП „Наука и образование за интелигентен растеж” – 79</w:t>
      </w:r>
      <w:r>
        <w:rPr>
          <w:bCs/>
        </w:rPr>
        <w:t>,</w:t>
      </w:r>
      <w:r w:rsidRPr="00012521">
        <w:rPr>
          <w:bCs/>
        </w:rPr>
        <w:t>1 млн. лв. (вкл. REACT-EU в размер на 1</w:t>
      </w:r>
      <w:r>
        <w:rPr>
          <w:bCs/>
        </w:rPr>
        <w:t>,</w:t>
      </w:r>
      <w:r w:rsidRPr="00012521">
        <w:rPr>
          <w:bCs/>
        </w:rPr>
        <w:t>5 млн. лева) и</w:t>
      </w:r>
    </w:p>
    <w:p w14:paraId="1C30962E" w14:textId="77777777" w:rsidR="00AE2AD5" w:rsidRPr="004B6535" w:rsidRDefault="00AE2AD5" w:rsidP="006207FA">
      <w:pPr>
        <w:numPr>
          <w:ilvl w:val="0"/>
          <w:numId w:val="11"/>
        </w:numPr>
        <w:tabs>
          <w:tab w:val="clear" w:pos="1101"/>
          <w:tab w:val="num" w:pos="709"/>
        </w:tabs>
        <w:ind w:left="709" w:hanging="283"/>
        <w:jc w:val="both"/>
        <w:rPr>
          <w:bCs/>
        </w:rPr>
      </w:pPr>
      <w:r w:rsidRPr="004B6535">
        <w:rPr>
          <w:bCs/>
        </w:rPr>
        <w:t>ОП „Околна среда 2014 – 2020 г.“ – 135</w:t>
      </w:r>
      <w:r>
        <w:rPr>
          <w:bCs/>
        </w:rPr>
        <w:t>,</w:t>
      </w:r>
      <w:r w:rsidRPr="004B6535">
        <w:rPr>
          <w:bCs/>
        </w:rPr>
        <w:t>9 млн. лв.</w:t>
      </w:r>
    </w:p>
    <w:p w14:paraId="0EFE25DA" w14:textId="77777777" w:rsidR="00AE2AD5" w:rsidRPr="0021432B" w:rsidRDefault="00AE2AD5" w:rsidP="00301C17">
      <w:pPr>
        <w:ind w:firstLine="567"/>
        <w:jc w:val="both"/>
        <w:rPr>
          <w:bCs/>
        </w:rPr>
      </w:pPr>
      <w:r w:rsidRPr="0021432B">
        <w:t xml:space="preserve">Предоставеното авансово финансиране по реда на ДДС 6/ 2011 г. към бюджетни организации за периода е на стойност </w:t>
      </w:r>
      <w:r w:rsidRPr="001B446F">
        <w:rPr>
          <w:lang w:val="ru-RU"/>
        </w:rPr>
        <w:t>1</w:t>
      </w:r>
      <w:r w:rsidRPr="0021432B">
        <w:t>5</w:t>
      </w:r>
      <w:r>
        <w:t>,</w:t>
      </w:r>
      <w:r w:rsidRPr="0021432B">
        <w:t>6 млн. лева, а възстановените средства – 30</w:t>
      </w:r>
      <w:r>
        <w:t>,</w:t>
      </w:r>
      <w:r w:rsidRPr="0021432B">
        <w:t>2 млн. лева.</w:t>
      </w:r>
    </w:p>
    <w:p w14:paraId="46FEC615" w14:textId="77777777" w:rsidR="00AE2AD5" w:rsidRPr="00437C08" w:rsidRDefault="00AE2AD5" w:rsidP="00301C17">
      <w:pPr>
        <w:ind w:firstLine="567"/>
        <w:jc w:val="both"/>
        <w:rPr>
          <w:bCs/>
        </w:rPr>
      </w:pPr>
      <w:r w:rsidRPr="00437C08">
        <w:rPr>
          <w:bCs/>
        </w:rPr>
        <w:t>Изплатените средства от оперативните програми за мерките за минимизиране на отрицателните последици от епидемичното разпространение на COVD-19 през отчетния период са в размер на 94</w:t>
      </w:r>
      <w:r>
        <w:rPr>
          <w:bCs/>
        </w:rPr>
        <w:t>,</w:t>
      </w:r>
      <w:r w:rsidRPr="00437C08">
        <w:rPr>
          <w:bCs/>
        </w:rPr>
        <w:t>9 млн. лева.</w:t>
      </w:r>
    </w:p>
    <w:p w14:paraId="3701DBB6" w14:textId="77777777" w:rsidR="00AE2AD5" w:rsidRPr="004055F7" w:rsidRDefault="00AE2AD5" w:rsidP="00301C17">
      <w:pPr>
        <w:spacing w:before="120"/>
        <w:ind w:firstLine="567"/>
        <w:jc w:val="both"/>
        <w:rPr>
          <w:b/>
          <w:bCs/>
        </w:rPr>
      </w:pPr>
      <w:r w:rsidRPr="00437C08">
        <w:rPr>
          <w:b/>
          <w:bCs/>
        </w:rPr>
        <w:t xml:space="preserve">Европейския социален фонд+, Европейския фонд за регионално развитие (включително Фонда за справедлив преход) </w:t>
      </w:r>
      <w:r w:rsidRPr="004055F7">
        <w:rPr>
          <w:b/>
          <w:bCs/>
        </w:rPr>
        <w:t>и Кохезионния фонд за програмен период 2021-2027 г.</w:t>
      </w:r>
    </w:p>
    <w:p w14:paraId="5D56A4EA" w14:textId="77777777" w:rsidR="00AE2AD5" w:rsidRPr="00A43810" w:rsidRDefault="00AE2AD5" w:rsidP="00301C17">
      <w:pPr>
        <w:ind w:firstLine="567"/>
        <w:jc w:val="both"/>
        <w:rPr>
          <w:bCs/>
          <w:color w:val="00B0F0"/>
        </w:rPr>
      </w:pPr>
      <w:r w:rsidRPr="004055F7">
        <w:rPr>
          <w:bCs/>
        </w:rPr>
        <w:t>Получените средства (предварително годишно финансиране за 2023 г., както и предварително финансиране за 2023 г. във връзка с FAST CARE) от ЕК за периода са в размер на 186</w:t>
      </w:r>
      <w:r>
        <w:rPr>
          <w:bCs/>
        </w:rPr>
        <w:t>,</w:t>
      </w:r>
      <w:r w:rsidRPr="004055F7">
        <w:rPr>
          <w:bCs/>
        </w:rPr>
        <w:t>0 млн. лв</w:t>
      </w:r>
      <w:r w:rsidRPr="00595CCB">
        <w:rPr>
          <w:bCs/>
        </w:rPr>
        <w:t xml:space="preserve">. и са </w:t>
      </w:r>
      <w:r w:rsidRPr="007D6D7D">
        <w:rPr>
          <w:bCs/>
        </w:rPr>
        <w:t>разпределени както следва:</w:t>
      </w:r>
    </w:p>
    <w:p w14:paraId="60019001" w14:textId="77777777" w:rsidR="00AE2AD5" w:rsidRPr="005A1EA7" w:rsidRDefault="00AE2AD5" w:rsidP="00EE3632">
      <w:pPr>
        <w:numPr>
          <w:ilvl w:val="0"/>
          <w:numId w:val="11"/>
        </w:numPr>
        <w:tabs>
          <w:tab w:val="clear" w:pos="1101"/>
          <w:tab w:val="num" w:pos="709"/>
          <w:tab w:val="left" w:pos="1134"/>
        </w:tabs>
        <w:ind w:left="786"/>
        <w:jc w:val="both"/>
        <w:rPr>
          <w:bCs/>
        </w:rPr>
      </w:pPr>
      <w:r w:rsidRPr="005A1EA7">
        <w:rPr>
          <w:bCs/>
        </w:rPr>
        <w:t xml:space="preserve">Програма „Развитие на човешките ресурси” 2021-2027 г. – </w:t>
      </w:r>
      <w:r>
        <w:rPr>
          <w:bCs/>
        </w:rPr>
        <w:t>32,3</w:t>
      </w:r>
      <w:r w:rsidRPr="005A1EA7">
        <w:rPr>
          <w:bCs/>
        </w:rPr>
        <w:t xml:space="preserve"> млн. лв.;  </w:t>
      </w:r>
    </w:p>
    <w:p w14:paraId="36FE5EE4" w14:textId="77777777" w:rsidR="00AE2AD5" w:rsidRPr="005A1EA7" w:rsidRDefault="00AE2AD5" w:rsidP="00EE3632">
      <w:pPr>
        <w:numPr>
          <w:ilvl w:val="0"/>
          <w:numId w:val="11"/>
        </w:numPr>
        <w:tabs>
          <w:tab w:val="clear" w:pos="1101"/>
          <w:tab w:val="num" w:pos="709"/>
          <w:tab w:val="left" w:pos="1134"/>
        </w:tabs>
        <w:ind w:left="786"/>
        <w:jc w:val="both"/>
        <w:rPr>
          <w:bCs/>
        </w:rPr>
      </w:pPr>
      <w:r w:rsidRPr="005A1EA7">
        <w:rPr>
          <w:bCs/>
        </w:rPr>
        <w:t xml:space="preserve">Програма „Храни и основно материално подпомагане” 2021-2027 г. – </w:t>
      </w:r>
      <w:r>
        <w:rPr>
          <w:bCs/>
        </w:rPr>
        <w:t>3,7</w:t>
      </w:r>
      <w:r w:rsidRPr="005A1EA7">
        <w:rPr>
          <w:bCs/>
        </w:rPr>
        <w:t xml:space="preserve"> млн. лв.;</w:t>
      </w:r>
    </w:p>
    <w:p w14:paraId="578B1337" w14:textId="77777777" w:rsidR="00AE2AD5" w:rsidRPr="00587B12" w:rsidRDefault="00AE2AD5" w:rsidP="00EE3632">
      <w:pPr>
        <w:numPr>
          <w:ilvl w:val="0"/>
          <w:numId w:val="11"/>
        </w:numPr>
        <w:tabs>
          <w:tab w:val="clear" w:pos="1101"/>
          <w:tab w:val="num" w:pos="709"/>
          <w:tab w:val="left" w:pos="1134"/>
        </w:tabs>
        <w:ind w:left="786"/>
        <w:jc w:val="both"/>
        <w:rPr>
          <w:bCs/>
        </w:rPr>
      </w:pPr>
      <w:r w:rsidRPr="00587B12">
        <w:rPr>
          <w:bCs/>
        </w:rPr>
        <w:t xml:space="preserve">Програма „Образование” 2021-2027 г. – </w:t>
      </w:r>
      <w:r>
        <w:rPr>
          <w:bCs/>
        </w:rPr>
        <w:t>15,4</w:t>
      </w:r>
      <w:r w:rsidRPr="00587B12">
        <w:rPr>
          <w:bCs/>
        </w:rPr>
        <w:t xml:space="preserve"> млн. лв.;</w:t>
      </w:r>
    </w:p>
    <w:p w14:paraId="0D6CFC46" w14:textId="77777777" w:rsidR="00AE2AD5" w:rsidRPr="00587B12" w:rsidRDefault="00AE2AD5" w:rsidP="00EE3632">
      <w:pPr>
        <w:numPr>
          <w:ilvl w:val="0"/>
          <w:numId w:val="11"/>
        </w:numPr>
        <w:tabs>
          <w:tab w:val="clear" w:pos="1101"/>
          <w:tab w:val="num" w:pos="709"/>
          <w:tab w:val="left" w:pos="1134"/>
        </w:tabs>
        <w:ind w:left="786"/>
        <w:jc w:val="both"/>
        <w:rPr>
          <w:bCs/>
        </w:rPr>
      </w:pPr>
      <w:r w:rsidRPr="00587B12">
        <w:rPr>
          <w:bCs/>
        </w:rPr>
        <w:t xml:space="preserve">Програма „Околна среда“ 2021 2027 г. </w:t>
      </w:r>
      <w:r w:rsidRPr="00005C27">
        <w:rPr>
          <w:bCs/>
        </w:rPr>
        <w:t xml:space="preserve">– </w:t>
      </w:r>
      <w:r>
        <w:rPr>
          <w:bCs/>
        </w:rPr>
        <w:t>30,0</w:t>
      </w:r>
      <w:r w:rsidRPr="00587B12">
        <w:rPr>
          <w:bCs/>
        </w:rPr>
        <w:t xml:space="preserve"> млн. лв.;</w:t>
      </w:r>
    </w:p>
    <w:p w14:paraId="2916D45C" w14:textId="77777777" w:rsidR="00AE2AD5" w:rsidRPr="00005C27" w:rsidRDefault="00AE2AD5" w:rsidP="00EE3632">
      <w:pPr>
        <w:numPr>
          <w:ilvl w:val="0"/>
          <w:numId w:val="11"/>
        </w:numPr>
        <w:tabs>
          <w:tab w:val="clear" w:pos="1101"/>
          <w:tab w:val="num" w:pos="709"/>
          <w:tab w:val="left" w:pos="1134"/>
        </w:tabs>
        <w:ind w:left="786"/>
        <w:jc w:val="both"/>
        <w:rPr>
          <w:bCs/>
        </w:rPr>
      </w:pPr>
      <w:r w:rsidRPr="00005C27">
        <w:rPr>
          <w:bCs/>
        </w:rPr>
        <w:t>Програма „Техническа помощ“ 2021 2027 г. – 2</w:t>
      </w:r>
      <w:r>
        <w:rPr>
          <w:bCs/>
        </w:rPr>
        <w:t>,0</w:t>
      </w:r>
      <w:r w:rsidRPr="00005C27">
        <w:rPr>
          <w:bCs/>
        </w:rPr>
        <w:t xml:space="preserve"> млн. лв.;</w:t>
      </w:r>
    </w:p>
    <w:p w14:paraId="6BDD9979" w14:textId="2BE56C7D" w:rsidR="00AE2AD5" w:rsidRPr="00C90F7E" w:rsidRDefault="00AE2AD5" w:rsidP="00EE3632">
      <w:pPr>
        <w:numPr>
          <w:ilvl w:val="0"/>
          <w:numId w:val="11"/>
        </w:numPr>
        <w:tabs>
          <w:tab w:val="clear" w:pos="1101"/>
          <w:tab w:val="num" w:pos="709"/>
          <w:tab w:val="left" w:pos="1134"/>
        </w:tabs>
        <w:ind w:left="709" w:hanging="283"/>
        <w:jc w:val="both"/>
        <w:rPr>
          <w:bCs/>
        </w:rPr>
      </w:pPr>
      <w:r w:rsidRPr="00C90F7E">
        <w:rPr>
          <w:bCs/>
        </w:rPr>
        <w:t xml:space="preserve">Програма „Конкурентоспособност и иновации в предприятията“ 2021 2027 г. – </w:t>
      </w:r>
      <w:r>
        <w:rPr>
          <w:bCs/>
        </w:rPr>
        <w:t>24</w:t>
      </w:r>
      <w:r w:rsidRPr="00C90F7E">
        <w:rPr>
          <w:bCs/>
        </w:rPr>
        <w:t>0</w:t>
      </w:r>
      <w:r w:rsidR="00195BE8">
        <w:rPr>
          <w:bCs/>
        </w:rPr>
        <w:t> </w:t>
      </w:r>
      <w:r w:rsidRPr="00C90F7E">
        <w:rPr>
          <w:bCs/>
        </w:rPr>
        <w:t>млн.</w:t>
      </w:r>
      <w:r>
        <w:rPr>
          <w:bCs/>
        </w:rPr>
        <w:t> </w:t>
      </w:r>
      <w:r w:rsidRPr="00C90F7E">
        <w:rPr>
          <w:bCs/>
        </w:rPr>
        <w:t>лв.;</w:t>
      </w:r>
    </w:p>
    <w:p w14:paraId="2F559ECF" w14:textId="77777777" w:rsidR="00AE2AD5" w:rsidRPr="002B7776" w:rsidRDefault="00AE2AD5" w:rsidP="00EE3632">
      <w:pPr>
        <w:numPr>
          <w:ilvl w:val="0"/>
          <w:numId w:val="11"/>
        </w:numPr>
        <w:tabs>
          <w:tab w:val="clear" w:pos="1101"/>
          <w:tab w:val="num" w:pos="709"/>
          <w:tab w:val="left" w:pos="1134"/>
        </w:tabs>
        <w:ind w:left="786"/>
        <w:jc w:val="both"/>
        <w:rPr>
          <w:bCs/>
        </w:rPr>
      </w:pPr>
      <w:r w:rsidRPr="002B7776">
        <w:rPr>
          <w:bCs/>
        </w:rPr>
        <w:t xml:space="preserve">Програма „Развитие на регионите“ 2021 2027 г. – </w:t>
      </w:r>
      <w:r>
        <w:rPr>
          <w:bCs/>
        </w:rPr>
        <w:t>29,7</w:t>
      </w:r>
      <w:r w:rsidRPr="002B7776">
        <w:rPr>
          <w:bCs/>
        </w:rPr>
        <w:t xml:space="preserve"> млн. лв.;</w:t>
      </w:r>
    </w:p>
    <w:p w14:paraId="02BA3BC0" w14:textId="77777777" w:rsidR="00AE2AD5" w:rsidRPr="00DB1194" w:rsidRDefault="00AE2AD5" w:rsidP="00EE3632">
      <w:pPr>
        <w:numPr>
          <w:ilvl w:val="0"/>
          <w:numId w:val="11"/>
        </w:numPr>
        <w:tabs>
          <w:tab w:val="clear" w:pos="1101"/>
          <w:tab w:val="num" w:pos="709"/>
          <w:tab w:val="left" w:pos="1134"/>
        </w:tabs>
        <w:ind w:left="709" w:hanging="283"/>
        <w:jc w:val="both"/>
        <w:rPr>
          <w:bCs/>
        </w:rPr>
      </w:pPr>
      <w:r w:rsidRPr="00DB1194">
        <w:rPr>
          <w:bCs/>
        </w:rPr>
        <w:t xml:space="preserve">Програма „Научни изследвания, иновации и дигитализация за интелигентна трансформация“ 2021 2027 г. – </w:t>
      </w:r>
      <w:r>
        <w:rPr>
          <w:bCs/>
        </w:rPr>
        <w:t>17,3</w:t>
      </w:r>
      <w:r w:rsidRPr="00DB1194">
        <w:rPr>
          <w:bCs/>
        </w:rPr>
        <w:t xml:space="preserve"> млн. лв.;</w:t>
      </w:r>
    </w:p>
    <w:p w14:paraId="3D92F257" w14:textId="77777777" w:rsidR="00AE2AD5" w:rsidRDefault="00AE2AD5" w:rsidP="00EE3632">
      <w:pPr>
        <w:numPr>
          <w:ilvl w:val="0"/>
          <w:numId w:val="11"/>
        </w:numPr>
        <w:tabs>
          <w:tab w:val="clear" w:pos="1101"/>
          <w:tab w:val="num" w:pos="709"/>
          <w:tab w:val="left" w:pos="1134"/>
        </w:tabs>
        <w:ind w:left="786"/>
        <w:jc w:val="both"/>
        <w:rPr>
          <w:bCs/>
        </w:rPr>
      </w:pPr>
      <w:r w:rsidRPr="00B23EA8">
        <w:rPr>
          <w:bCs/>
        </w:rPr>
        <w:t xml:space="preserve">Програма „Транспортна свързаност“ 2021 2027 г. – </w:t>
      </w:r>
      <w:r>
        <w:rPr>
          <w:bCs/>
        </w:rPr>
        <w:t>31,6</w:t>
      </w:r>
      <w:r w:rsidRPr="00B23EA8">
        <w:rPr>
          <w:bCs/>
        </w:rPr>
        <w:t xml:space="preserve"> млн. л</w:t>
      </w:r>
      <w:r>
        <w:rPr>
          <w:bCs/>
        </w:rPr>
        <w:t>е</w:t>
      </w:r>
      <w:r w:rsidRPr="00B23EA8">
        <w:rPr>
          <w:bCs/>
        </w:rPr>
        <w:t>в</w:t>
      </w:r>
      <w:r>
        <w:rPr>
          <w:bCs/>
        </w:rPr>
        <w:t>а</w:t>
      </w:r>
      <w:r w:rsidRPr="00B23EA8">
        <w:rPr>
          <w:bCs/>
        </w:rPr>
        <w:t>.</w:t>
      </w:r>
    </w:p>
    <w:p w14:paraId="4967D949" w14:textId="77777777" w:rsidR="00AE2AD5" w:rsidRDefault="00AE2AD5" w:rsidP="001E094C">
      <w:pPr>
        <w:tabs>
          <w:tab w:val="num" w:pos="567"/>
          <w:tab w:val="left" w:pos="1134"/>
        </w:tabs>
        <w:ind w:hanging="502"/>
        <w:rPr>
          <w:bCs/>
          <w:color w:val="0070C0"/>
        </w:rPr>
      </w:pPr>
    </w:p>
    <w:p w14:paraId="3007A2A8" w14:textId="77777777" w:rsidR="00AE2AD5" w:rsidRPr="001467F2" w:rsidRDefault="00AE2AD5" w:rsidP="004E3DBA">
      <w:pPr>
        <w:tabs>
          <w:tab w:val="num" w:pos="567"/>
          <w:tab w:val="left" w:pos="1134"/>
        </w:tabs>
        <w:ind w:firstLine="567"/>
        <w:rPr>
          <w:bCs/>
        </w:rPr>
      </w:pPr>
      <w:r w:rsidRPr="001467F2">
        <w:rPr>
          <w:bCs/>
        </w:rPr>
        <w:t>Направените разходи за периода са в размер на 91</w:t>
      </w:r>
      <w:r>
        <w:rPr>
          <w:bCs/>
        </w:rPr>
        <w:t>,</w:t>
      </w:r>
      <w:r w:rsidRPr="001467F2">
        <w:rPr>
          <w:bCs/>
        </w:rPr>
        <w:t>8 млн. лв. и са разпределени както следва:</w:t>
      </w:r>
    </w:p>
    <w:p w14:paraId="2FF7D868" w14:textId="77777777" w:rsidR="00AE2AD5" w:rsidRPr="005C4E2C" w:rsidRDefault="00AE2AD5" w:rsidP="003B1014">
      <w:pPr>
        <w:numPr>
          <w:ilvl w:val="0"/>
          <w:numId w:val="11"/>
        </w:numPr>
        <w:tabs>
          <w:tab w:val="clear" w:pos="1101"/>
          <w:tab w:val="num" w:pos="709"/>
          <w:tab w:val="left" w:pos="1134"/>
        </w:tabs>
        <w:ind w:left="786"/>
        <w:jc w:val="both"/>
        <w:rPr>
          <w:bCs/>
        </w:rPr>
      </w:pPr>
      <w:r w:rsidRPr="005C4E2C">
        <w:rPr>
          <w:bCs/>
        </w:rPr>
        <w:t>Програма „Развитие на човешките ресурси” 2021-2027 г. – 39</w:t>
      </w:r>
      <w:r>
        <w:rPr>
          <w:bCs/>
        </w:rPr>
        <w:t>,</w:t>
      </w:r>
      <w:r w:rsidRPr="005C4E2C">
        <w:rPr>
          <w:bCs/>
        </w:rPr>
        <w:t xml:space="preserve">8 млн. лв.;  </w:t>
      </w:r>
    </w:p>
    <w:p w14:paraId="5235CB4C" w14:textId="77777777" w:rsidR="00AE2AD5" w:rsidRPr="005C4E2C" w:rsidRDefault="00AE2AD5" w:rsidP="003B1014">
      <w:pPr>
        <w:numPr>
          <w:ilvl w:val="0"/>
          <w:numId w:val="11"/>
        </w:numPr>
        <w:tabs>
          <w:tab w:val="clear" w:pos="1101"/>
          <w:tab w:val="num" w:pos="709"/>
          <w:tab w:val="left" w:pos="1134"/>
        </w:tabs>
        <w:ind w:left="786"/>
        <w:jc w:val="both"/>
        <w:rPr>
          <w:bCs/>
        </w:rPr>
      </w:pPr>
      <w:r w:rsidRPr="005C4E2C">
        <w:rPr>
          <w:bCs/>
        </w:rPr>
        <w:t>Програма „Храни и основно материално подпомагане” 2021-2027 г. – 36</w:t>
      </w:r>
      <w:r>
        <w:rPr>
          <w:bCs/>
        </w:rPr>
        <w:t>,</w:t>
      </w:r>
      <w:r w:rsidRPr="005C4E2C">
        <w:rPr>
          <w:bCs/>
        </w:rPr>
        <w:t>7 млн. лв.;</w:t>
      </w:r>
    </w:p>
    <w:p w14:paraId="74C50151" w14:textId="7E3E8F8A" w:rsidR="00AE2AD5" w:rsidRDefault="00AE2AD5" w:rsidP="003B1014">
      <w:pPr>
        <w:numPr>
          <w:ilvl w:val="0"/>
          <w:numId w:val="11"/>
        </w:numPr>
        <w:tabs>
          <w:tab w:val="clear" w:pos="1101"/>
          <w:tab w:val="num" w:pos="709"/>
          <w:tab w:val="left" w:pos="1134"/>
        </w:tabs>
        <w:ind w:left="709" w:hanging="283"/>
        <w:jc w:val="both"/>
        <w:rPr>
          <w:bCs/>
        </w:rPr>
      </w:pPr>
      <w:r w:rsidRPr="005C4E2C">
        <w:rPr>
          <w:bCs/>
        </w:rPr>
        <w:t>Програма „Конкурентоспособност и иновации в предприятията“ 2021 2027 г. – 15</w:t>
      </w:r>
      <w:r>
        <w:rPr>
          <w:bCs/>
        </w:rPr>
        <w:t>,</w:t>
      </w:r>
      <w:r w:rsidRPr="005C4E2C">
        <w:rPr>
          <w:bCs/>
        </w:rPr>
        <w:t>3</w:t>
      </w:r>
      <w:r w:rsidR="00195BE8">
        <w:rPr>
          <w:bCs/>
        </w:rPr>
        <w:t> </w:t>
      </w:r>
      <w:r w:rsidRPr="005C4E2C">
        <w:rPr>
          <w:bCs/>
        </w:rPr>
        <w:t xml:space="preserve"> млн.</w:t>
      </w:r>
      <w:r>
        <w:rPr>
          <w:bCs/>
        </w:rPr>
        <w:t> </w:t>
      </w:r>
      <w:r w:rsidRPr="005C4E2C">
        <w:rPr>
          <w:bCs/>
        </w:rPr>
        <w:t>лв.</w:t>
      </w:r>
      <w:r>
        <w:rPr>
          <w:bCs/>
        </w:rPr>
        <w:t xml:space="preserve"> и</w:t>
      </w:r>
    </w:p>
    <w:p w14:paraId="44D0710B" w14:textId="77777777" w:rsidR="00AE2AD5" w:rsidRPr="005C4E2C" w:rsidRDefault="00AE2AD5" w:rsidP="003B1014">
      <w:pPr>
        <w:numPr>
          <w:ilvl w:val="0"/>
          <w:numId w:val="11"/>
        </w:numPr>
        <w:tabs>
          <w:tab w:val="clear" w:pos="1101"/>
          <w:tab w:val="num" w:pos="709"/>
          <w:tab w:val="left" w:pos="1134"/>
        </w:tabs>
        <w:ind w:left="786"/>
        <w:jc w:val="both"/>
        <w:rPr>
          <w:bCs/>
        </w:rPr>
      </w:pPr>
      <w:r w:rsidRPr="00587B12">
        <w:rPr>
          <w:bCs/>
        </w:rPr>
        <w:t xml:space="preserve">Програма „Образование” 2021-2027 г. – </w:t>
      </w:r>
      <w:r>
        <w:rPr>
          <w:bCs/>
        </w:rPr>
        <w:t>0,006</w:t>
      </w:r>
      <w:r w:rsidRPr="00587B12">
        <w:rPr>
          <w:bCs/>
        </w:rPr>
        <w:t xml:space="preserve"> млн. л</w:t>
      </w:r>
      <w:r>
        <w:rPr>
          <w:bCs/>
        </w:rPr>
        <w:t>е</w:t>
      </w:r>
      <w:r w:rsidRPr="00587B12">
        <w:rPr>
          <w:bCs/>
        </w:rPr>
        <w:t>в</w:t>
      </w:r>
      <w:r>
        <w:rPr>
          <w:bCs/>
        </w:rPr>
        <w:t>а</w:t>
      </w:r>
      <w:r w:rsidRPr="00587B12">
        <w:rPr>
          <w:bCs/>
        </w:rPr>
        <w:t>.</w:t>
      </w:r>
    </w:p>
    <w:p w14:paraId="0B8D8D23" w14:textId="77777777" w:rsidR="00AE2AD5" w:rsidRPr="003625E6" w:rsidRDefault="00AE2AD5" w:rsidP="00301C17">
      <w:pPr>
        <w:spacing w:before="120"/>
        <w:ind w:firstLine="567"/>
        <w:rPr>
          <w:b/>
          <w:bCs/>
        </w:rPr>
      </w:pPr>
      <w:r w:rsidRPr="003625E6">
        <w:rPr>
          <w:b/>
          <w:bCs/>
        </w:rPr>
        <w:t>Национален план за възстановяване и устойчивост (НПВУ)</w:t>
      </w:r>
    </w:p>
    <w:p w14:paraId="506C3EE5" w14:textId="77777777" w:rsidR="00AE2AD5" w:rsidRPr="001B1E46" w:rsidRDefault="00AE2AD5" w:rsidP="00301C17">
      <w:pPr>
        <w:spacing w:before="120"/>
        <w:ind w:firstLine="567"/>
        <w:rPr>
          <w:bCs/>
          <w:color w:val="0070C0"/>
        </w:rPr>
      </w:pPr>
      <w:r w:rsidRPr="003625E6">
        <w:rPr>
          <w:bCs/>
        </w:rPr>
        <w:t>През отчетния период чрез НПВУ бяха извършени разходи и трансфери (нето)</w:t>
      </w:r>
      <w:r w:rsidRPr="001B446F">
        <w:rPr>
          <w:bCs/>
          <w:lang w:val="ru-RU"/>
        </w:rPr>
        <w:t xml:space="preserve"> </w:t>
      </w:r>
      <w:r w:rsidRPr="003625E6">
        <w:rPr>
          <w:bCs/>
        </w:rPr>
        <w:t>в размер на 174</w:t>
      </w:r>
      <w:r>
        <w:rPr>
          <w:bCs/>
        </w:rPr>
        <w:t>,</w:t>
      </w:r>
      <w:r w:rsidRPr="003625E6">
        <w:rPr>
          <w:bCs/>
        </w:rPr>
        <w:t>9 млн. лева.</w:t>
      </w:r>
    </w:p>
    <w:p w14:paraId="63B5C675" w14:textId="77777777" w:rsidR="00AE2AD5" w:rsidRPr="00C34C1E" w:rsidRDefault="00AE2AD5" w:rsidP="00301C17">
      <w:pPr>
        <w:spacing w:before="120"/>
        <w:ind w:firstLine="567"/>
        <w:rPr>
          <w:b/>
          <w:bCs/>
        </w:rPr>
      </w:pPr>
      <w:r w:rsidRPr="00C34C1E">
        <w:rPr>
          <w:b/>
          <w:bCs/>
        </w:rPr>
        <w:t xml:space="preserve">Програма ФАР </w:t>
      </w:r>
    </w:p>
    <w:p w14:paraId="4F8B6C97" w14:textId="77777777" w:rsidR="00AE2AD5" w:rsidRPr="00C34C1E" w:rsidRDefault="00AE2AD5" w:rsidP="00301C17">
      <w:pPr>
        <w:ind w:firstLine="567"/>
        <w:jc w:val="both"/>
        <w:rPr>
          <w:bCs/>
        </w:rPr>
      </w:pPr>
      <w:r w:rsidRPr="00C34C1E">
        <w:rPr>
          <w:bCs/>
        </w:rPr>
        <w:t>През отчетния период са възстановени суми от бенефициенти на стойност 0</w:t>
      </w:r>
      <w:r>
        <w:rPr>
          <w:bCs/>
        </w:rPr>
        <w:t>,</w:t>
      </w:r>
      <w:r w:rsidRPr="00C34C1E">
        <w:rPr>
          <w:bCs/>
        </w:rPr>
        <w:t>008 млн.</w:t>
      </w:r>
      <w:r>
        <w:rPr>
          <w:bCs/>
        </w:rPr>
        <w:t> </w:t>
      </w:r>
      <w:r w:rsidRPr="00C34C1E">
        <w:rPr>
          <w:bCs/>
        </w:rPr>
        <w:t xml:space="preserve">лева. </w:t>
      </w:r>
    </w:p>
    <w:p w14:paraId="32D1C0E3" w14:textId="77777777" w:rsidR="00AE2AD5" w:rsidRPr="00C34C1E" w:rsidRDefault="00AE2AD5" w:rsidP="00301C17">
      <w:pPr>
        <w:spacing w:before="120"/>
        <w:ind w:firstLine="567"/>
        <w:rPr>
          <w:b/>
          <w:bCs/>
        </w:rPr>
      </w:pPr>
      <w:r w:rsidRPr="00C34C1E">
        <w:rPr>
          <w:b/>
          <w:bCs/>
        </w:rPr>
        <w:t xml:space="preserve">Програма САПАРД </w:t>
      </w:r>
    </w:p>
    <w:p w14:paraId="33E18AC0" w14:textId="77777777" w:rsidR="00AE2AD5" w:rsidRPr="001B1E46" w:rsidRDefault="00AE2AD5" w:rsidP="00301C17">
      <w:pPr>
        <w:ind w:firstLine="567"/>
        <w:jc w:val="both"/>
        <w:rPr>
          <w:bCs/>
          <w:color w:val="0070C0"/>
        </w:rPr>
      </w:pPr>
      <w:r w:rsidRPr="00C34C1E">
        <w:rPr>
          <w:bCs/>
        </w:rPr>
        <w:t>През периода са извършени възстановявания от бенефициенти по дългове на стойност 0</w:t>
      </w:r>
      <w:r>
        <w:rPr>
          <w:bCs/>
        </w:rPr>
        <w:t>,</w:t>
      </w:r>
      <w:r w:rsidRPr="00C34C1E">
        <w:rPr>
          <w:bCs/>
        </w:rPr>
        <w:t>04 млн. лв.</w:t>
      </w:r>
    </w:p>
    <w:p w14:paraId="6E94A9C2" w14:textId="77777777" w:rsidR="00AE2AD5" w:rsidRPr="006F0BCF" w:rsidRDefault="00AE2AD5" w:rsidP="00301C17">
      <w:pPr>
        <w:spacing w:before="120"/>
        <w:ind w:firstLine="567"/>
        <w:jc w:val="both"/>
        <w:rPr>
          <w:b/>
          <w:bCs/>
        </w:rPr>
      </w:pPr>
      <w:r w:rsidRPr="001B1E46">
        <w:rPr>
          <w:bCs/>
          <w:color w:val="0070C0"/>
        </w:rPr>
        <w:tab/>
      </w:r>
      <w:r w:rsidRPr="006F0BCF">
        <w:rPr>
          <w:b/>
          <w:bCs/>
        </w:rPr>
        <w:t>Двустранни програми за трансгранично сътрудничество по външните граници на Европейския съюз 2007 – 2013 г., 2014 – 2020 г. и 2021 – 2027 г.</w:t>
      </w:r>
    </w:p>
    <w:p w14:paraId="584178A7" w14:textId="77777777" w:rsidR="00AE2AD5" w:rsidRPr="006F0BCF" w:rsidRDefault="00AE2AD5" w:rsidP="00301C17">
      <w:pPr>
        <w:ind w:firstLine="567"/>
        <w:jc w:val="both"/>
        <w:rPr>
          <w:bCs/>
        </w:rPr>
      </w:pPr>
      <w:r w:rsidRPr="006F0BCF">
        <w:rPr>
          <w:bCs/>
        </w:rPr>
        <w:t>Получените средства към 30.06.2023 г. са на стойност 22</w:t>
      </w:r>
      <w:r>
        <w:rPr>
          <w:bCs/>
        </w:rPr>
        <w:t>,</w:t>
      </w:r>
      <w:r w:rsidRPr="006F0BCF">
        <w:rPr>
          <w:bCs/>
        </w:rPr>
        <w:t>9 млн. лв., представляващи възстановени разходи от ЕК по ПП 2014-2020 г., постъпили средства за съфинансиране от страните-партньори, както</w:t>
      </w:r>
      <w:r>
        <w:rPr>
          <w:bCs/>
        </w:rPr>
        <w:t xml:space="preserve"> и</w:t>
      </w:r>
      <w:r w:rsidRPr="006F0BCF">
        <w:rPr>
          <w:bCs/>
        </w:rPr>
        <w:t xml:space="preserve"> разпределени към администратори в чужбина за сметка на средствата, получени от страната-партньор и втори транш за предварително финансиране по ПП 2021-2027 г.</w:t>
      </w:r>
    </w:p>
    <w:p w14:paraId="62BE7E33" w14:textId="77777777" w:rsidR="00AE2AD5" w:rsidRPr="001B1E46" w:rsidRDefault="00AE2AD5" w:rsidP="00301C17">
      <w:pPr>
        <w:ind w:firstLine="567"/>
        <w:jc w:val="both"/>
        <w:rPr>
          <w:b/>
          <w:bCs/>
          <w:color w:val="0070C0"/>
        </w:rPr>
      </w:pPr>
      <w:r w:rsidRPr="006F0BCF">
        <w:rPr>
          <w:bCs/>
        </w:rPr>
        <w:t>Сумата на разходите и трансферите (нето) към бюджетни организации в страната, които са направени през същия период по двустранните програми са на обща стойност 5</w:t>
      </w:r>
      <w:r>
        <w:rPr>
          <w:bCs/>
        </w:rPr>
        <w:t>,</w:t>
      </w:r>
      <w:r w:rsidRPr="006F0BCF">
        <w:rPr>
          <w:bCs/>
        </w:rPr>
        <w:t>2 млн. лв., включително за плащания към бенефициенти в страната, извършени за сметка на полученото финансиране от страната-партньор по тези програми.</w:t>
      </w:r>
      <w:r w:rsidRPr="001B1E46">
        <w:rPr>
          <w:bCs/>
          <w:color w:val="0070C0"/>
        </w:rPr>
        <w:t xml:space="preserve"> </w:t>
      </w:r>
    </w:p>
    <w:p w14:paraId="40FC5B12" w14:textId="77777777" w:rsidR="00AE2AD5" w:rsidRPr="00C4050B" w:rsidRDefault="00AE2AD5" w:rsidP="00301C17">
      <w:pPr>
        <w:spacing w:before="120"/>
        <w:ind w:firstLine="567"/>
        <w:jc w:val="both"/>
        <w:rPr>
          <w:b/>
          <w:bCs/>
        </w:rPr>
      </w:pPr>
      <w:r w:rsidRPr="00C4050B">
        <w:rPr>
          <w:b/>
          <w:bCs/>
        </w:rPr>
        <w:t>Финансов механизъм на Европейското икономическо пространство и Норвежки финансов механизъм за периода 2009-2014 г. и 2014-2021 г.</w:t>
      </w:r>
    </w:p>
    <w:p w14:paraId="2C3E94A3" w14:textId="77777777" w:rsidR="00AE2AD5" w:rsidRPr="00C4050B" w:rsidRDefault="00AE2AD5" w:rsidP="00301C17">
      <w:pPr>
        <w:spacing w:before="120"/>
        <w:ind w:firstLine="567"/>
        <w:jc w:val="both"/>
        <w:rPr>
          <w:b/>
          <w:bCs/>
        </w:rPr>
      </w:pPr>
      <w:r w:rsidRPr="00C4050B">
        <w:rPr>
          <w:bCs/>
        </w:rPr>
        <w:t>Получените средства към 30.06.2023 г. са на стойност 57</w:t>
      </w:r>
      <w:r>
        <w:rPr>
          <w:bCs/>
        </w:rPr>
        <w:t>,</w:t>
      </w:r>
      <w:r w:rsidRPr="00C4050B">
        <w:rPr>
          <w:bCs/>
        </w:rPr>
        <w:t>1 млн. л</w:t>
      </w:r>
      <w:r>
        <w:rPr>
          <w:bCs/>
        </w:rPr>
        <w:t>е</w:t>
      </w:r>
      <w:r w:rsidRPr="00C4050B">
        <w:rPr>
          <w:bCs/>
        </w:rPr>
        <w:t>в</w:t>
      </w:r>
      <w:r>
        <w:rPr>
          <w:bCs/>
        </w:rPr>
        <w:t>а</w:t>
      </w:r>
      <w:r w:rsidRPr="00C4050B">
        <w:rPr>
          <w:bCs/>
        </w:rPr>
        <w:t>.</w:t>
      </w:r>
    </w:p>
    <w:p w14:paraId="77D8F58C" w14:textId="77777777" w:rsidR="00AE2AD5" w:rsidRPr="001B446F" w:rsidRDefault="00AE2AD5" w:rsidP="00301C17">
      <w:pPr>
        <w:tabs>
          <w:tab w:val="center" w:pos="4153"/>
          <w:tab w:val="left" w:pos="5387"/>
          <w:tab w:val="right" w:pos="8306"/>
        </w:tabs>
        <w:ind w:firstLine="567"/>
        <w:jc w:val="both"/>
        <w:rPr>
          <w:lang w:val="ru-RU"/>
        </w:rPr>
      </w:pPr>
      <w:r w:rsidRPr="00C4050B">
        <w:rPr>
          <w:bCs/>
        </w:rPr>
        <w:t>Сумата на разходите и трансферите (нето) за периода са на обща стойност 32</w:t>
      </w:r>
      <w:r>
        <w:rPr>
          <w:bCs/>
        </w:rPr>
        <w:t>,</w:t>
      </w:r>
      <w:r w:rsidRPr="00C4050B">
        <w:rPr>
          <w:bCs/>
        </w:rPr>
        <w:t>6 млн. лева.</w:t>
      </w:r>
    </w:p>
    <w:p w14:paraId="328AA882" w14:textId="77777777" w:rsidR="00033525" w:rsidRPr="0055349C" w:rsidRDefault="00033525" w:rsidP="00D71F03">
      <w:pPr>
        <w:ind w:firstLine="708"/>
        <w:jc w:val="both"/>
        <w:rPr>
          <w:bCs/>
          <w:color w:val="0070C0"/>
        </w:rPr>
      </w:pPr>
    </w:p>
    <w:p w14:paraId="2E9380FB" w14:textId="77777777" w:rsidR="00936CD8" w:rsidRPr="00195B15" w:rsidRDefault="00936CD8" w:rsidP="00936CD8">
      <w:pPr>
        <w:pStyle w:val="Heading1"/>
        <w:numPr>
          <w:ilvl w:val="0"/>
          <w:numId w:val="9"/>
        </w:numPr>
        <w:spacing w:before="360"/>
        <w:ind w:left="533" w:right="-108" w:hanging="391"/>
        <w:jc w:val="both"/>
        <w:rPr>
          <w:sz w:val="24"/>
        </w:rPr>
      </w:pPr>
      <w:r w:rsidRPr="00195B15">
        <w:rPr>
          <w:sz w:val="24"/>
        </w:rPr>
        <w:t>Бюджети на социално и здравно-осигурителните фондове и бюджети по чл. 13, ал. 2 и ал. 3 на Закона за публичните финанси</w:t>
      </w:r>
    </w:p>
    <w:p w14:paraId="6BC7F586" w14:textId="77777777" w:rsidR="00936CD8" w:rsidRPr="00195B15" w:rsidRDefault="00936CD8" w:rsidP="00751212">
      <w:pPr>
        <w:pStyle w:val="Heading1"/>
        <w:numPr>
          <w:ilvl w:val="1"/>
          <w:numId w:val="9"/>
        </w:numPr>
        <w:spacing w:before="240"/>
        <w:ind w:left="788" w:right="-108" w:hanging="431"/>
        <w:jc w:val="both"/>
        <w:rPr>
          <w:sz w:val="24"/>
          <w:lang w:val="en-US"/>
        </w:rPr>
      </w:pPr>
      <w:r w:rsidRPr="00195B15">
        <w:rPr>
          <w:sz w:val="24"/>
        </w:rPr>
        <w:t>Социално и здравно-осигурителни фондове</w:t>
      </w:r>
    </w:p>
    <w:p w14:paraId="7DBDB0CE" w14:textId="77777777" w:rsidR="00DD564B" w:rsidRPr="00195B15" w:rsidRDefault="00DD564B" w:rsidP="00DD564B">
      <w:pPr>
        <w:numPr>
          <w:ilvl w:val="1"/>
          <w:numId w:val="6"/>
        </w:numPr>
        <w:spacing w:before="120" w:line="276" w:lineRule="auto"/>
        <w:ind w:left="992" w:hanging="357"/>
        <w:jc w:val="both"/>
        <w:rPr>
          <w:b/>
          <w:bCs/>
        </w:rPr>
      </w:pPr>
      <w:r w:rsidRPr="00195B15">
        <w:rPr>
          <w:b/>
        </w:rPr>
        <w:t>Държавно обществено осигуряване</w:t>
      </w:r>
    </w:p>
    <w:p w14:paraId="3117434B" w14:textId="77777777" w:rsidR="00301C17" w:rsidRPr="006232E2" w:rsidRDefault="00301C17" w:rsidP="00301C17">
      <w:pPr>
        <w:ind w:firstLine="567"/>
        <w:jc w:val="both"/>
        <w:rPr>
          <w:rFonts w:eastAsiaTheme="minorHAnsi"/>
        </w:rPr>
      </w:pPr>
      <w:r w:rsidRPr="00497E71">
        <w:t xml:space="preserve">Общата сума на </w:t>
      </w:r>
      <w:r w:rsidRPr="00497E71">
        <w:rPr>
          <w:b/>
        </w:rPr>
        <w:t>приходите, помощите и даренията</w:t>
      </w:r>
      <w:r w:rsidRPr="00497E71">
        <w:t xml:space="preserve"> по бюджета на Държавното обществено </w:t>
      </w:r>
      <w:r w:rsidRPr="006232E2">
        <w:t>осигуряване (ДОО) към 30.06.202</w:t>
      </w:r>
      <w:r w:rsidRPr="00B019A1">
        <w:rPr>
          <w:lang w:val="ru-RU"/>
        </w:rPr>
        <w:t>3</w:t>
      </w:r>
      <w:r w:rsidRPr="006232E2">
        <w:t xml:space="preserve"> г. възлиза на </w:t>
      </w:r>
      <w:r w:rsidRPr="00B019A1">
        <w:rPr>
          <w:lang w:val="ru-RU"/>
        </w:rPr>
        <w:t>5</w:t>
      </w:r>
      <w:r w:rsidRPr="006232E2">
        <w:t> </w:t>
      </w:r>
      <w:r w:rsidRPr="00B019A1">
        <w:rPr>
          <w:lang w:val="ru-RU"/>
        </w:rPr>
        <w:t>429</w:t>
      </w:r>
      <w:r w:rsidRPr="006232E2">
        <w:t>,</w:t>
      </w:r>
      <w:r w:rsidRPr="00B019A1">
        <w:rPr>
          <w:lang w:val="ru-RU"/>
        </w:rPr>
        <w:t>7</w:t>
      </w:r>
      <w:r w:rsidRPr="006232E2">
        <w:t xml:space="preserve"> млн. лв. Най-голям е делът на приходите от осигурителни вноски (98,</w:t>
      </w:r>
      <w:r w:rsidRPr="00B019A1">
        <w:rPr>
          <w:lang w:val="ru-RU"/>
        </w:rPr>
        <w:t>4</w:t>
      </w:r>
      <w:r w:rsidRPr="006232E2">
        <w:t xml:space="preserve"> % от общите приходи), които за отчетния период са в размер на </w:t>
      </w:r>
      <w:r w:rsidRPr="00B019A1">
        <w:rPr>
          <w:lang w:val="ru-RU"/>
        </w:rPr>
        <w:t>5</w:t>
      </w:r>
      <w:r w:rsidRPr="006232E2">
        <w:t> </w:t>
      </w:r>
      <w:r w:rsidRPr="00B019A1">
        <w:rPr>
          <w:lang w:val="ru-RU"/>
        </w:rPr>
        <w:t>344</w:t>
      </w:r>
      <w:r w:rsidRPr="006232E2">
        <w:t>,</w:t>
      </w:r>
      <w:r w:rsidRPr="00B019A1">
        <w:rPr>
          <w:lang w:val="ru-RU"/>
        </w:rPr>
        <w:t>2</w:t>
      </w:r>
      <w:r w:rsidRPr="006232E2">
        <w:t xml:space="preserve"> млн. лв. Съпоставени с първото полугодие на 202</w:t>
      </w:r>
      <w:r w:rsidRPr="00B019A1">
        <w:rPr>
          <w:lang w:val="ru-RU"/>
        </w:rPr>
        <w:t>2</w:t>
      </w:r>
      <w:r w:rsidRPr="006232E2">
        <w:t xml:space="preserve"> г., приходите по бюджета на ДОО нарастват с</w:t>
      </w:r>
      <w:r w:rsidRPr="00B019A1">
        <w:rPr>
          <w:lang w:val="ru-RU"/>
        </w:rPr>
        <w:t>ъс 745</w:t>
      </w:r>
      <w:r w:rsidRPr="006232E2">
        <w:t xml:space="preserve">,4 млн. лв. (15,9 %). </w:t>
      </w:r>
    </w:p>
    <w:p w14:paraId="647D6C96" w14:textId="74A269EB" w:rsidR="00301C17" w:rsidRDefault="00301C17" w:rsidP="00301C17">
      <w:pPr>
        <w:ind w:firstLine="567"/>
        <w:jc w:val="both"/>
        <w:rPr>
          <w:bCs/>
        </w:rPr>
      </w:pPr>
      <w:r w:rsidRPr="006232E2">
        <w:rPr>
          <w:bCs/>
        </w:rPr>
        <w:t>Отчетените неданъчни приходи към края на юни 2023 г. по бюджета на ДОО възлизат на 85,4 млн. лв., в т.ч. 67,1 млн. лв. постъпили средства по чл. 4б, чл. 4в и чл. 69б от Кодекса за социално осигуряване (КСО)</w:t>
      </w:r>
      <w:r w:rsidRPr="006232E2">
        <w:t>.</w:t>
      </w:r>
      <w:r w:rsidRPr="006232E2">
        <w:rPr>
          <w:bCs/>
        </w:rPr>
        <w:t xml:space="preserve"> </w:t>
      </w:r>
    </w:p>
    <w:p w14:paraId="15C64280" w14:textId="6CD2D2E1" w:rsidR="00D61A0C" w:rsidRPr="006232E2" w:rsidRDefault="00D61A0C" w:rsidP="00301C17">
      <w:pPr>
        <w:ind w:firstLine="567"/>
        <w:jc w:val="both"/>
        <w:rPr>
          <w:bCs/>
        </w:rPr>
      </w:pPr>
      <w:r w:rsidRPr="00BA057E">
        <w:rPr>
          <w:bCs/>
        </w:rPr>
        <w:t>Получените трансфери от централния бюджет за периода са 4 889,6 млн. лв.</w:t>
      </w:r>
    </w:p>
    <w:p w14:paraId="3ABB9640" w14:textId="77777777" w:rsidR="00301C17" w:rsidRPr="00497E71" w:rsidRDefault="00301C17" w:rsidP="00301C17">
      <w:pPr>
        <w:tabs>
          <w:tab w:val="num" w:pos="1499"/>
          <w:tab w:val="num" w:pos="2148"/>
        </w:tabs>
        <w:ind w:firstLine="567"/>
        <w:jc w:val="both"/>
        <w:rPr>
          <w:bCs/>
          <w:color w:val="4F81BD" w:themeColor="accent1"/>
        </w:rPr>
      </w:pPr>
      <w:r w:rsidRPr="006232E2">
        <w:rPr>
          <w:bCs/>
        </w:rPr>
        <w:t xml:space="preserve">Размерът на извършените </w:t>
      </w:r>
      <w:r w:rsidRPr="006232E2">
        <w:rPr>
          <w:b/>
          <w:bCs/>
        </w:rPr>
        <w:t xml:space="preserve">разходи </w:t>
      </w:r>
      <w:r w:rsidRPr="006232E2">
        <w:rPr>
          <w:bCs/>
        </w:rPr>
        <w:t>за първите шест месеца на 2023 г. по бюджета на ДОО е 10 156</w:t>
      </w:r>
      <w:r>
        <w:rPr>
          <w:bCs/>
        </w:rPr>
        <w:t>,9 млн. лв.</w:t>
      </w:r>
      <w:r w:rsidRPr="00C86A26">
        <w:rPr>
          <w:bCs/>
        </w:rPr>
        <w:t xml:space="preserve"> Спрямо същия период на миналата година, общо разходите по бюджета на ДОО са с 2 003,0 млн. лв. (24,6 %) повече. От структурна гледна точка най-голям относителен дял в общите разходи заемат разходите за пенсии, обезщетения и помощи, изплащани на основание КСО – общо 10 078,2 млн. лв. или 99,2 % от общия размер на разходите за отчетния период. </w:t>
      </w:r>
    </w:p>
    <w:p w14:paraId="497FF455" w14:textId="77777777" w:rsidR="00301C17" w:rsidRPr="00A535A2" w:rsidRDefault="00301C17" w:rsidP="00301C17">
      <w:pPr>
        <w:tabs>
          <w:tab w:val="num" w:pos="1499"/>
          <w:tab w:val="num" w:pos="2148"/>
        </w:tabs>
        <w:ind w:firstLine="567"/>
        <w:jc w:val="both"/>
        <w:rPr>
          <w:bCs/>
        </w:rPr>
      </w:pPr>
      <w:r w:rsidRPr="00C86A26">
        <w:rPr>
          <w:bCs/>
        </w:rPr>
        <w:t xml:space="preserve">Отчетените разходи за </w:t>
      </w:r>
      <w:r w:rsidRPr="00C86A26">
        <w:rPr>
          <w:b/>
          <w:bCs/>
        </w:rPr>
        <w:t>пенсии</w:t>
      </w:r>
      <w:r w:rsidRPr="00C86A26">
        <w:rPr>
          <w:bCs/>
        </w:rPr>
        <w:t xml:space="preserve"> по бюджета на ДОО към 30.06.2023 г. възлизат на 9 035,7 млн. лв., което е с 2 072,2 млн. лв. повече спрямо първите шест месеца на 2022 г. </w:t>
      </w:r>
      <w:r w:rsidRPr="00A535A2">
        <w:rPr>
          <w:bCs/>
        </w:rPr>
        <w:t>Основните причини за това са: ефектите от изплащане на увеличените пенсии от 1 юли 2022 г. и от 1 октомври 2022 г., вкл. увеличението на минималната и на максималната пенсии, както и допълнителните еднократни плащания в размер на 70 лв. към пенсиите на всички пенсионери през м. април 2022</w:t>
      </w:r>
      <w:r w:rsidRPr="00A535A2">
        <w:rPr>
          <w:bCs/>
          <w:lang w:val="en-US"/>
        </w:rPr>
        <w:t> </w:t>
      </w:r>
      <w:r w:rsidRPr="00A535A2">
        <w:rPr>
          <w:bCs/>
        </w:rPr>
        <w:t xml:space="preserve">г. и на тези </w:t>
      </w:r>
      <w:r>
        <w:rPr>
          <w:bCs/>
        </w:rPr>
        <w:t xml:space="preserve">от тях </w:t>
      </w:r>
      <w:r w:rsidRPr="00A535A2">
        <w:rPr>
          <w:bCs/>
        </w:rPr>
        <w:t>с пенсии до размера на линията на бедност през април 2023 г.</w:t>
      </w:r>
    </w:p>
    <w:p w14:paraId="4CCD4DF9" w14:textId="77777777" w:rsidR="00301C17" w:rsidRPr="00A535A2" w:rsidRDefault="00301C17" w:rsidP="00301C17">
      <w:pPr>
        <w:tabs>
          <w:tab w:val="num" w:pos="1499"/>
          <w:tab w:val="num" w:pos="2148"/>
        </w:tabs>
        <w:ind w:firstLine="567"/>
        <w:jc w:val="both"/>
      </w:pPr>
      <w:r w:rsidRPr="00A535A2">
        <w:t xml:space="preserve">Отчетените разходи за </w:t>
      </w:r>
      <w:r w:rsidRPr="00A535A2">
        <w:rPr>
          <w:b/>
        </w:rPr>
        <w:t>краткосрочни обезщетения и помощи по КСО</w:t>
      </w:r>
      <w:r w:rsidRPr="00A535A2">
        <w:t xml:space="preserve"> са в размер на 1 042,5 млн. лева. Спрямо същия период на миналата година изплатените обезщетения по КСО са с 28,9 млн. лв. (2,9 %) повече.</w:t>
      </w:r>
    </w:p>
    <w:p w14:paraId="7B353547" w14:textId="77777777" w:rsidR="00301C17" w:rsidRPr="00DF6111" w:rsidRDefault="00301C17" w:rsidP="00301C17">
      <w:pPr>
        <w:numPr>
          <w:ilvl w:val="1"/>
          <w:numId w:val="6"/>
        </w:numPr>
        <w:tabs>
          <w:tab w:val="num" w:pos="709"/>
          <w:tab w:val="left" w:pos="851"/>
          <w:tab w:val="left" w:pos="1134"/>
        </w:tabs>
        <w:spacing w:before="120" w:line="276" w:lineRule="auto"/>
        <w:ind w:left="709" w:hanging="357"/>
        <w:jc w:val="both"/>
        <w:rPr>
          <w:b/>
          <w:bCs/>
        </w:rPr>
      </w:pPr>
      <w:r w:rsidRPr="00DF6111">
        <w:rPr>
          <w:b/>
          <w:bCs/>
        </w:rPr>
        <w:t>Национална здравноосигурителна каса</w:t>
      </w:r>
    </w:p>
    <w:p w14:paraId="4349CD3E" w14:textId="77777777" w:rsidR="00301C17" w:rsidRPr="00DF6111" w:rsidRDefault="00301C17" w:rsidP="00301C17">
      <w:pPr>
        <w:ind w:firstLine="567"/>
        <w:jc w:val="both"/>
      </w:pPr>
      <w:r w:rsidRPr="00DF6111">
        <w:t xml:space="preserve">Общият размер на събраните </w:t>
      </w:r>
      <w:r w:rsidRPr="00DF6111">
        <w:rPr>
          <w:b/>
        </w:rPr>
        <w:t>приходи, помощи и дарения</w:t>
      </w:r>
      <w:r w:rsidRPr="00DF6111">
        <w:t xml:space="preserve"> по бюджета на НЗОК за първите шест месеца на 2023 г. възлиза на 2 084,9 млн. лв., </w:t>
      </w:r>
      <w:r w:rsidRPr="00E76607">
        <w:t xml:space="preserve">което е с </w:t>
      </w:r>
      <w:r>
        <w:t>273,0 млн. лв.  (15,1 %) повече в сравнение със същия период на предходната година.</w:t>
      </w:r>
      <w:r w:rsidRPr="00DF6111">
        <w:t xml:space="preserve"> Постъпленията от здравноосигурителни вноски са в размер на 2 068,6 млн. лв</w:t>
      </w:r>
      <w:r w:rsidRPr="00B91A68">
        <w:t xml:space="preserve">., което е с 270,3 млн. лв. повече от първото полугодие на 2022 г. </w:t>
      </w:r>
      <w:r w:rsidRPr="00DF6111">
        <w:t xml:space="preserve">Събраните неданъчни приходи за първото полугодие на 2023 г. са 16,3 млн. лв., като основната част от тях са приходи от глоби, санкции и наказателни лихви. </w:t>
      </w:r>
    </w:p>
    <w:p w14:paraId="0153A575" w14:textId="77777777" w:rsidR="00301C17" w:rsidRPr="00B019A1" w:rsidRDefault="00301C17" w:rsidP="00301C17">
      <w:pPr>
        <w:ind w:firstLine="567"/>
        <w:jc w:val="both"/>
        <w:rPr>
          <w:color w:val="4F81BD" w:themeColor="accent1"/>
          <w:lang w:val="ru-RU"/>
        </w:rPr>
      </w:pPr>
      <w:r w:rsidRPr="00B260FE">
        <w:t>Полученият трансфер от МЗ за</w:t>
      </w:r>
      <w:r w:rsidRPr="00B260FE">
        <w:rPr>
          <w:szCs w:val="20"/>
        </w:rPr>
        <w:t xml:space="preserve"> финансиране на разходите за лекарствени продукти – ваксини и дейности по прилагането им за здравните дейности по чл. 82, ал. 2, т. 3 от Закона за здравето (ЗЗ); за дейности за здравнонеосигурени лица, включващи: комплексно диспансерно (амбулаторно) наблюдение при пациенти с кожно-венерически и психиатрични заболявания; интензивно лечение; дейности по чл. 82, ал. 1, т. 2 от ЗЗ, за сумите по чл. 37, ал. 6 от Закона за здравното осигуряване (ЗЗО) и за медицински изделия, помощни средства, приспособления и съоръжения за хората с увреждания извън обхвата на задължителното здравно осигуряване</w:t>
      </w:r>
      <w:r w:rsidRPr="00B260FE">
        <w:t xml:space="preserve"> </w:t>
      </w:r>
      <w:r w:rsidRPr="00B260FE">
        <w:rPr>
          <w:szCs w:val="20"/>
        </w:rPr>
        <w:t xml:space="preserve">за отчетния период </w:t>
      </w:r>
      <w:r w:rsidRPr="000817B5">
        <w:rPr>
          <w:szCs w:val="20"/>
          <w:lang w:val="en-US"/>
        </w:rPr>
        <w:t>e</w:t>
      </w:r>
      <w:r w:rsidRPr="000817B5">
        <w:rPr>
          <w:szCs w:val="20"/>
        </w:rPr>
        <w:t xml:space="preserve"> в размер на 59,1</w:t>
      </w:r>
      <w:r w:rsidRPr="000817B5">
        <w:t xml:space="preserve"> млн. лева.</w:t>
      </w:r>
      <w:r w:rsidRPr="00B019A1">
        <w:rPr>
          <w:lang w:val="ru-RU"/>
        </w:rPr>
        <w:t xml:space="preserve"> </w:t>
      </w:r>
      <w:r w:rsidRPr="00BD70D3">
        <w:t>В сравнение с първото шестмесечие на 2022 г. се отчита намаление от 210,5 млн. лв. поради преустановяване на трансферите за НЗОК от бюджета на Министерството на здравеопазването, предназначени за подкрепа на медицинския персонал за работа при неблагоприятни условия и за поставяне на ваксини срещу COVID-19, след изтичане на срока на извънредна епидемична обстановка.</w:t>
      </w:r>
    </w:p>
    <w:p w14:paraId="00FF3C7E" w14:textId="77777777" w:rsidR="00301C17" w:rsidRPr="008E2507" w:rsidRDefault="00301C17" w:rsidP="00301C17">
      <w:pPr>
        <w:ind w:firstLine="567"/>
        <w:jc w:val="both"/>
      </w:pPr>
      <w:r>
        <w:t>Получените т</w:t>
      </w:r>
      <w:r w:rsidRPr="008E2507">
        <w:t xml:space="preserve">рансфери от централния бюджет за </w:t>
      </w:r>
      <w:r w:rsidRPr="00F4135A">
        <w:t>периода са 1 077,9 млн. лв.</w:t>
      </w:r>
      <w:r w:rsidRPr="008E2507">
        <w:t xml:space="preserve"> </w:t>
      </w:r>
    </w:p>
    <w:p w14:paraId="5AC07016" w14:textId="77777777" w:rsidR="00301C17" w:rsidRPr="00A43455" w:rsidRDefault="00301C17" w:rsidP="00301C17">
      <w:pPr>
        <w:ind w:firstLine="567"/>
        <w:jc w:val="both"/>
      </w:pPr>
      <w:r w:rsidRPr="00A43455">
        <w:t xml:space="preserve">Отчетените </w:t>
      </w:r>
      <w:r w:rsidRPr="00A43455">
        <w:rPr>
          <w:b/>
        </w:rPr>
        <w:t>разходи</w:t>
      </w:r>
      <w:r w:rsidRPr="00A43455">
        <w:t xml:space="preserve"> към 30.06.2023 г. са в размер на 3 196,6 млн. лв. и нарастват с 260,7 млн. лв. (8,9 %) спрямо същия период на миналата година. </w:t>
      </w:r>
    </w:p>
    <w:p w14:paraId="2398D7D1" w14:textId="219CD84F" w:rsidR="00301C17" w:rsidRPr="00E07793" w:rsidRDefault="00301C17" w:rsidP="00301C17">
      <w:pPr>
        <w:ind w:firstLine="567"/>
        <w:jc w:val="both"/>
      </w:pPr>
      <w:r w:rsidRPr="00E07793">
        <w:t>Най-голям относителен дял в общите разходи (96,7 %) заемат здравноосигурителнит</w:t>
      </w:r>
      <w:r w:rsidR="00BA057E">
        <w:t xml:space="preserve">е плащания, които възлизат на </w:t>
      </w:r>
      <w:r w:rsidR="00BA057E" w:rsidRPr="00BA057E">
        <w:t>3</w:t>
      </w:r>
      <w:r w:rsidR="00BA057E">
        <w:t> </w:t>
      </w:r>
      <w:r w:rsidRPr="00BA057E">
        <w:t>092</w:t>
      </w:r>
      <w:r w:rsidRPr="00E07793">
        <w:t>,5 млн. лева. В отделните направления на здравноосигурителни плащания изпълнението на бюджета за първото полугодие на 2023 г. е следното:</w:t>
      </w:r>
    </w:p>
    <w:p w14:paraId="399C33A9" w14:textId="77777777" w:rsidR="00301C17" w:rsidRPr="00E07793" w:rsidRDefault="00301C17" w:rsidP="00301C17">
      <w:pPr>
        <w:numPr>
          <w:ilvl w:val="0"/>
          <w:numId w:val="15"/>
        </w:numPr>
        <w:tabs>
          <w:tab w:val="num" w:pos="0"/>
          <w:tab w:val="left" w:pos="720"/>
          <w:tab w:val="left" w:pos="1134"/>
        </w:tabs>
        <w:spacing w:before="120" w:line="276" w:lineRule="auto"/>
        <w:ind w:hanging="6169"/>
        <w:jc w:val="both"/>
        <w:rPr>
          <w:bCs/>
        </w:rPr>
      </w:pPr>
      <w:r w:rsidRPr="00E07793">
        <w:rPr>
          <w:b/>
          <w:i/>
        </w:rPr>
        <w:t>първична извънболнична медицинска помощ</w:t>
      </w:r>
      <w:r w:rsidRPr="00E07793">
        <w:rPr>
          <w:i/>
        </w:rPr>
        <w:t xml:space="preserve"> –</w:t>
      </w:r>
      <w:r w:rsidRPr="00E07793">
        <w:t xml:space="preserve"> 170,9 млн. лева;</w:t>
      </w:r>
      <w:r w:rsidRPr="00E07793">
        <w:rPr>
          <w:bCs/>
        </w:rPr>
        <w:t xml:space="preserve"> </w:t>
      </w:r>
    </w:p>
    <w:p w14:paraId="38769FDB" w14:textId="77777777" w:rsidR="00301C17" w:rsidRPr="00E07793" w:rsidRDefault="00301C17" w:rsidP="00301C17">
      <w:pPr>
        <w:numPr>
          <w:ilvl w:val="0"/>
          <w:numId w:val="15"/>
        </w:numPr>
        <w:tabs>
          <w:tab w:val="num" w:pos="0"/>
          <w:tab w:val="left" w:pos="720"/>
          <w:tab w:val="left" w:pos="1134"/>
        </w:tabs>
        <w:spacing w:line="276" w:lineRule="auto"/>
        <w:ind w:hanging="6169"/>
        <w:jc w:val="both"/>
        <w:rPr>
          <w:i/>
        </w:rPr>
      </w:pPr>
      <w:r w:rsidRPr="00E07793">
        <w:rPr>
          <w:b/>
          <w:i/>
        </w:rPr>
        <w:t xml:space="preserve">специализирана извънболнична медицинска помощ </w:t>
      </w:r>
      <w:r w:rsidRPr="00E07793">
        <w:t xml:space="preserve"> – 198,7 млн. лева;</w:t>
      </w:r>
    </w:p>
    <w:p w14:paraId="39DF56A5" w14:textId="77777777" w:rsidR="00301C17" w:rsidRPr="00E07793" w:rsidRDefault="00301C17" w:rsidP="00301C17">
      <w:pPr>
        <w:numPr>
          <w:ilvl w:val="0"/>
          <w:numId w:val="15"/>
        </w:numPr>
        <w:tabs>
          <w:tab w:val="num" w:pos="0"/>
          <w:tab w:val="left" w:pos="720"/>
          <w:tab w:val="left" w:pos="1134"/>
        </w:tabs>
        <w:spacing w:line="276" w:lineRule="auto"/>
        <w:ind w:hanging="6169"/>
        <w:jc w:val="both"/>
        <w:rPr>
          <w:b/>
        </w:rPr>
      </w:pPr>
      <w:r w:rsidRPr="00E07793">
        <w:rPr>
          <w:b/>
          <w:i/>
        </w:rPr>
        <w:t xml:space="preserve">дентална помощ </w:t>
      </w:r>
      <w:r w:rsidRPr="00E07793">
        <w:rPr>
          <w:b/>
        </w:rPr>
        <w:t xml:space="preserve">– </w:t>
      </w:r>
      <w:r w:rsidRPr="00E07793">
        <w:t>138,2 млн. лева;</w:t>
      </w:r>
    </w:p>
    <w:p w14:paraId="480BD9B9" w14:textId="77777777" w:rsidR="00301C17" w:rsidRPr="00E07793" w:rsidRDefault="00301C17" w:rsidP="00301C17">
      <w:pPr>
        <w:numPr>
          <w:ilvl w:val="0"/>
          <w:numId w:val="15"/>
        </w:numPr>
        <w:tabs>
          <w:tab w:val="num" w:pos="0"/>
          <w:tab w:val="left" w:pos="720"/>
          <w:tab w:val="left" w:pos="1134"/>
        </w:tabs>
        <w:spacing w:line="276" w:lineRule="auto"/>
        <w:ind w:hanging="6169"/>
        <w:jc w:val="both"/>
        <w:rPr>
          <w:b/>
          <w:i/>
        </w:rPr>
      </w:pPr>
      <w:r w:rsidRPr="00E07793">
        <w:rPr>
          <w:b/>
          <w:i/>
        </w:rPr>
        <w:t xml:space="preserve">медико-диагностична дейност </w:t>
      </w:r>
      <w:r w:rsidRPr="00E07793">
        <w:rPr>
          <w:b/>
        </w:rPr>
        <w:t xml:space="preserve">– </w:t>
      </w:r>
      <w:r w:rsidRPr="00E07793">
        <w:t>75,8 млн. лева;</w:t>
      </w:r>
      <w:r w:rsidRPr="00E07793">
        <w:rPr>
          <w:b/>
          <w:i/>
        </w:rPr>
        <w:t xml:space="preserve"> </w:t>
      </w:r>
    </w:p>
    <w:p w14:paraId="09AC69A0" w14:textId="77777777" w:rsidR="00301C17" w:rsidRPr="00E07793" w:rsidRDefault="00301C17" w:rsidP="00301C17">
      <w:pPr>
        <w:numPr>
          <w:ilvl w:val="0"/>
          <w:numId w:val="15"/>
        </w:numPr>
        <w:tabs>
          <w:tab w:val="num" w:pos="0"/>
          <w:tab w:val="left" w:pos="1134"/>
        </w:tabs>
        <w:spacing w:line="276" w:lineRule="auto"/>
        <w:ind w:left="1134" w:hanging="425"/>
        <w:jc w:val="both"/>
      </w:pPr>
      <w:r w:rsidRPr="00E07793">
        <w:rPr>
          <w:b/>
          <w:i/>
        </w:rPr>
        <w:t xml:space="preserve">лекарствени продукти, медицински изделия и диетични храни за домашно лечение на територията на страната  - </w:t>
      </w:r>
      <w:r w:rsidRPr="00E07793">
        <w:t>491,6 млн. лв.</w:t>
      </w:r>
    </w:p>
    <w:p w14:paraId="365CC351" w14:textId="77777777" w:rsidR="00301C17" w:rsidRPr="004C3E1C" w:rsidRDefault="00301C17" w:rsidP="00301C17">
      <w:pPr>
        <w:numPr>
          <w:ilvl w:val="0"/>
          <w:numId w:val="15"/>
        </w:numPr>
        <w:tabs>
          <w:tab w:val="num" w:pos="0"/>
          <w:tab w:val="left" w:pos="1134"/>
          <w:tab w:val="num" w:pos="6096"/>
        </w:tabs>
        <w:spacing w:line="276" w:lineRule="auto"/>
        <w:ind w:left="1134" w:hanging="425"/>
        <w:jc w:val="both"/>
      </w:pPr>
      <w:r w:rsidRPr="004C3E1C">
        <w:rPr>
          <w:b/>
          <w:i/>
        </w:rPr>
        <w:t xml:space="preserve"> лекарствени продукти за лечение на злокачествени заболявания в условията на болнична медицинска помощ </w:t>
      </w:r>
      <w:r w:rsidRPr="004C3E1C">
        <w:t xml:space="preserve"> – 437,3 млн. лева;</w:t>
      </w:r>
    </w:p>
    <w:p w14:paraId="1FBDCA00" w14:textId="77777777" w:rsidR="00301C17" w:rsidRPr="00E07793" w:rsidRDefault="00301C17" w:rsidP="00301C17">
      <w:pPr>
        <w:numPr>
          <w:ilvl w:val="0"/>
          <w:numId w:val="15"/>
        </w:numPr>
        <w:tabs>
          <w:tab w:val="num" w:pos="0"/>
          <w:tab w:val="left" w:pos="720"/>
          <w:tab w:val="num" w:pos="1134"/>
        </w:tabs>
        <w:spacing w:line="276" w:lineRule="auto"/>
        <w:ind w:left="1134" w:hanging="425"/>
        <w:jc w:val="both"/>
      </w:pPr>
      <w:r w:rsidRPr="00E07793">
        <w:rPr>
          <w:b/>
          <w:i/>
        </w:rPr>
        <w:t>медицински изделия, прилагани в болничната  помощ –</w:t>
      </w:r>
      <w:r w:rsidRPr="00E07793">
        <w:t xml:space="preserve"> 63,1 млн. лева;</w:t>
      </w:r>
    </w:p>
    <w:p w14:paraId="4EFB3818" w14:textId="77777777" w:rsidR="00301C17" w:rsidRPr="00497E71" w:rsidRDefault="00301C17" w:rsidP="00301C17">
      <w:pPr>
        <w:numPr>
          <w:ilvl w:val="0"/>
          <w:numId w:val="15"/>
        </w:numPr>
        <w:tabs>
          <w:tab w:val="num" w:pos="0"/>
          <w:tab w:val="left" w:pos="720"/>
          <w:tab w:val="left" w:pos="1134"/>
        </w:tabs>
        <w:spacing w:line="276" w:lineRule="auto"/>
        <w:ind w:hanging="6169"/>
        <w:jc w:val="both"/>
        <w:rPr>
          <w:color w:val="4F81BD" w:themeColor="accent1"/>
        </w:rPr>
      </w:pPr>
      <w:r w:rsidRPr="00E07793">
        <w:rPr>
          <w:b/>
          <w:i/>
        </w:rPr>
        <w:t>болнична медицинска помощ –</w:t>
      </w:r>
      <w:r w:rsidRPr="00E07793">
        <w:t xml:space="preserve"> 1 496,2 млн. лева.</w:t>
      </w:r>
      <w:r w:rsidRPr="00497E71">
        <w:rPr>
          <w:color w:val="4F81BD" w:themeColor="accent1"/>
        </w:rPr>
        <w:tab/>
        <w:t xml:space="preserve"> </w:t>
      </w:r>
    </w:p>
    <w:p w14:paraId="16A3BF3F" w14:textId="77777777" w:rsidR="00301C17" w:rsidRPr="004C3E1C" w:rsidRDefault="00301C17" w:rsidP="00301C17">
      <w:pPr>
        <w:numPr>
          <w:ilvl w:val="0"/>
          <w:numId w:val="15"/>
        </w:numPr>
        <w:tabs>
          <w:tab w:val="num" w:pos="0"/>
          <w:tab w:val="left" w:pos="720"/>
          <w:tab w:val="left" w:pos="1134"/>
        </w:tabs>
        <w:spacing w:line="276" w:lineRule="auto"/>
        <w:ind w:hanging="6169"/>
        <w:jc w:val="both"/>
      </w:pPr>
      <w:r w:rsidRPr="004C3E1C">
        <w:rPr>
          <w:b/>
          <w:i/>
        </w:rPr>
        <w:t xml:space="preserve">други здравноосигурителни плащания – </w:t>
      </w:r>
      <w:r w:rsidRPr="004C3E1C">
        <w:t>20,8 млн. лева.</w:t>
      </w:r>
    </w:p>
    <w:p w14:paraId="22EC9527" w14:textId="77777777" w:rsidR="00301C17" w:rsidRPr="004C3E1C" w:rsidRDefault="00301C17" w:rsidP="00301C17">
      <w:pPr>
        <w:spacing w:before="120"/>
        <w:ind w:firstLine="567"/>
        <w:jc w:val="both"/>
      </w:pPr>
      <w:r w:rsidRPr="004C3E1C">
        <w:t>Като здравноосигурителни плащания следва да се третират и преведените 76,8 млн. лв. трансфери по договори за извършване на медицински услуги към бюджетни организации, в структурата на които има лечебни заведения по чл. 5 от Закона за лечебните заведения. Заедно с преведените трансфери усвоените средства за здравноосигурителни плащания възлизат на 3 169,3 млн. лв.</w:t>
      </w:r>
    </w:p>
    <w:p w14:paraId="6922B4A9" w14:textId="617337C0" w:rsidR="00301C17" w:rsidRPr="004C3E1C" w:rsidRDefault="00E72478" w:rsidP="00301C17">
      <w:pPr>
        <w:ind w:firstLine="567"/>
        <w:jc w:val="both"/>
      </w:pPr>
      <w:r w:rsidRPr="00E72478">
        <w:t>За периода са отчетени плащания в размер на 60,9  млн. лв. от предоставения трансфер  от Министерството на здравеопазването за дейности за здравнонеосигурени лица, лекарствени продукти, потребителска такса, медицински изделия за хората с увреждания и за лечение на лица до 18 годишна възраст по чл.82, ал.1а, 3 и 6 от Закона за здравето и на лица над 18 годишна възраст по чл.82, ал.1а и 6</w:t>
      </w:r>
      <w:r w:rsidR="00301C17" w:rsidRPr="00524CB9">
        <w:t>.</w:t>
      </w:r>
    </w:p>
    <w:p w14:paraId="737999C6" w14:textId="513111A7" w:rsidR="00301C17" w:rsidRPr="00176B7C" w:rsidRDefault="00301C17" w:rsidP="00301C17">
      <w:pPr>
        <w:ind w:firstLine="567"/>
        <w:jc w:val="both"/>
      </w:pPr>
      <w:r w:rsidRPr="00176B7C">
        <w:t>За първите шест месеца на годината са отчетени 42,9 млн. лв.</w:t>
      </w:r>
      <w:r w:rsidRPr="006460C1">
        <w:t xml:space="preserve"> </w:t>
      </w:r>
      <w:r w:rsidRPr="004C3E1C">
        <w:t xml:space="preserve">за </w:t>
      </w:r>
      <w:r w:rsidRPr="00176B7C">
        <w:t>административни разходи на институцията, които включват разходите за персонал и за текуща издръжка. Усвоените средства за административни разходи заемат 1,3 на сто в структурата на общите разходи за отчетния период.</w:t>
      </w:r>
      <w:r>
        <w:t xml:space="preserve"> От</w:t>
      </w:r>
      <w:r w:rsidR="00BA057E">
        <w:t>четените капиталови разходи за</w:t>
      </w:r>
      <w:r>
        <w:t xml:space="preserve"> периода възлизат на 0,2 млн. лева.</w:t>
      </w:r>
    </w:p>
    <w:p w14:paraId="62754EAA" w14:textId="13D8A330" w:rsidR="00656380" w:rsidRPr="0055349C" w:rsidRDefault="00656380" w:rsidP="002763DB">
      <w:pPr>
        <w:ind w:firstLine="567"/>
        <w:jc w:val="both"/>
        <w:rPr>
          <w:color w:val="0070C0"/>
        </w:rPr>
      </w:pPr>
    </w:p>
    <w:p w14:paraId="4957A8EC" w14:textId="77777777" w:rsidR="00B6120B" w:rsidRPr="009149DD" w:rsidRDefault="00B6120B" w:rsidP="00ED2B9A">
      <w:pPr>
        <w:pStyle w:val="Heading1"/>
        <w:numPr>
          <w:ilvl w:val="1"/>
          <w:numId w:val="9"/>
        </w:numPr>
        <w:spacing w:before="120"/>
        <w:ind w:left="788" w:right="-108" w:hanging="431"/>
        <w:jc w:val="both"/>
        <w:rPr>
          <w:sz w:val="24"/>
        </w:rPr>
      </w:pPr>
      <w:r w:rsidRPr="009149DD">
        <w:rPr>
          <w:sz w:val="24"/>
        </w:rPr>
        <w:t>Общински бюджети</w:t>
      </w:r>
    </w:p>
    <w:p w14:paraId="6012FCED" w14:textId="77777777" w:rsidR="00750EB3" w:rsidRPr="00B019A1" w:rsidRDefault="00750EB3" w:rsidP="00655915">
      <w:pPr>
        <w:numPr>
          <w:ilvl w:val="0"/>
          <w:numId w:val="27"/>
        </w:numPr>
        <w:tabs>
          <w:tab w:val="left" w:pos="851"/>
        </w:tabs>
        <w:spacing w:before="360" w:line="276" w:lineRule="auto"/>
        <w:ind w:left="533" w:firstLine="34"/>
        <w:jc w:val="both"/>
        <w:rPr>
          <w:b/>
        </w:rPr>
      </w:pPr>
      <w:r w:rsidRPr="00B019A1">
        <w:rPr>
          <w:b/>
        </w:rPr>
        <w:t>Приходи</w:t>
      </w:r>
    </w:p>
    <w:p w14:paraId="5F9325FF" w14:textId="77777777" w:rsidR="00B019A1" w:rsidRPr="00E7621E" w:rsidRDefault="00B019A1" w:rsidP="00655915">
      <w:pPr>
        <w:tabs>
          <w:tab w:val="center" w:pos="4153"/>
          <w:tab w:val="right" w:pos="8306"/>
        </w:tabs>
        <w:spacing w:before="240"/>
        <w:ind w:firstLine="567"/>
        <w:jc w:val="both"/>
      </w:pPr>
      <w:r w:rsidRPr="00BD1EF8">
        <w:t xml:space="preserve">Собствените приходи по бюджетите на общините към </w:t>
      </w:r>
      <w:r w:rsidRPr="00E7621E">
        <w:t xml:space="preserve">30.06.2023 г. са в размер на  </w:t>
      </w:r>
    </w:p>
    <w:p w14:paraId="2B25A298" w14:textId="23E2B875" w:rsidR="00B019A1" w:rsidRPr="00BD1EF8" w:rsidRDefault="00B019A1" w:rsidP="00B019A1">
      <w:pPr>
        <w:tabs>
          <w:tab w:val="center" w:pos="4153"/>
          <w:tab w:val="right" w:pos="8306"/>
        </w:tabs>
        <w:jc w:val="both"/>
        <w:rPr>
          <w:color w:val="0070C0"/>
          <w:lang w:val="ru-RU"/>
        </w:rPr>
      </w:pPr>
      <w:r w:rsidRPr="00E7621E">
        <w:rPr>
          <w:lang w:val="ru-RU"/>
        </w:rPr>
        <w:t>1 877</w:t>
      </w:r>
      <w:r w:rsidRPr="00E7621E">
        <w:t>,6</w:t>
      </w:r>
      <w:r w:rsidRPr="00BD1EF8">
        <w:rPr>
          <w:bCs/>
        </w:rPr>
        <w:t> м</w:t>
      </w:r>
      <w:r w:rsidRPr="00BD1EF8">
        <w:t xml:space="preserve">лн. лв., което представлява </w:t>
      </w:r>
      <w:r w:rsidRPr="00E7621E">
        <w:t>6</w:t>
      </w:r>
      <w:r w:rsidRPr="00BD1EF8">
        <w:t>,</w:t>
      </w:r>
      <w:r w:rsidRPr="00E7621E">
        <w:rPr>
          <w:lang w:val="ru-RU"/>
        </w:rPr>
        <w:t>8</w:t>
      </w:r>
      <w:r w:rsidRPr="00BD1EF8">
        <w:t> % повече спрямо изпълнението за същия период на 2022</w:t>
      </w:r>
      <w:r w:rsidR="00655915">
        <w:t> </w:t>
      </w:r>
      <w:r w:rsidRPr="00BD1EF8">
        <w:t>г</w:t>
      </w:r>
      <w:r w:rsidRPr="00E7621E">
        <w:rPr>
          <w:lang w:val="ru-RU"/>
        </w:rPr>
        <w:t>. или със 120,0</w:t>
      </w:r>
      <w:r w:rsidRPr="00BD1EF8">
        <w:rPr>
          <w:lang w:val="ru-RU"/>
        </w:rPr>
        <w:t xml:space="preserve"> млн. лв. повече.</w:t>
      </w:r>
    </w:p>
    <w:p w14:paraId="5DDB7DD4" w14:textId="0CEDC07D" w:rsidR="00B019A1" w:rsidRPr="00BD1EF8" w:rsidRDefault="00B019A1" w:rsidP="00B019A1">
      <w:pPr>
        <w:ind w:firstLine="567"/>
        <w:jc w:val="both"/>
        <w:rPr>
          <w:i/>
          <w:color w:val="0070C0"/>
        </w:rPr>
      </w:pPr>
      <w:r w:rsidRPr="00BD1EF8">
        <w:rPr>
          <w:i/>
        </w:rPr>
        <w:t>Данъчните приходи</w:t>
      </w:r>
      <w:r w:rsidRPr="00BD1EF8">
        <w:t xml:space="preserve"> по общинските бюджети са в размер на</w:t>
      </w:r>
      <w:r w:rsidR="00655915">
        <w:t> </w:t>
      </w:r>
      <w:r w:rsidRPr="00C941D6">
        <w:rPr>
          <w:lang w:val="ru-RU"/>
        </w:rPr>
        <w:t>832</w:t>
      </w:r>
      <w:r w:rsidRPr="00BD1EF8">
        <w:rPr>
          <w:lang w:val="ru-RU"/>
        </w:rPr>
        <w:t>,5</w:t>
      </w:r>
      <w:r w:rsidRPr="00C941D6">
        <w:t xml:space="preserve"> млн. лв. или с 2,4</w:t>
      </w:r>
      <w:r w:rsidRPr="00BD1EF8">
        <w:t xml:space="preserve"> % повече </w:t>
      </w:r>
      <w:r w:rsidR="00BA057E">
        <w:t>спрямо тези за същия период на</w:t>
      </w:r>
      <w:r w:rsidRPr="00BD1EF8">
        <w:t xml:space="preserve"> предходната година. </w:t>
      </w:r>
      <w:r w:rsidRPr="00BD1EF8">
        <w:rPr>
          <w:bCs/>
        </w:rPr>
        <w:t xml:space="preserve">От </w:t>
      </w:r>
      <w:r w:rsidRPr="00BD1EF8">
        <w:rPr>
          <w:bCs/>
          <w:i/>
        </w:rPr>
        <w:t>имуществени данъци по Закона за местните данъци и такси</w:t>
      </w:r>
      <w:r w:rsidRPr="00C941D6">
        <w:rPr>
          <w:bCs/>
        </w:rPr>
        <w:t xml:space="preserve"> в местните бюджети към 30</w:t>
      </w:r>
      <w:r w:rsidRPr="00BD1EF8">
        <w:rPr>
          <w:bCs/>
        </w:rPr>
        <w:t xml:space="preserve"> </w:t>
      </w:r>
      <w:r w:rsidRPr="00C941D6">
        <w:rPr>
          <w:bCs/>
        </w:rPr>
        <w:t>юни</w:t>
      </w:r>
      <w:r w:rsidRPr="00BD1EF8">
        <w:rPr>
          <w:bCs/>
        </w:rPr>
        <w:t xml:space="preserve"> 2023 г. </w:t>
      </w:r>
      <w:r w:rsidRPr="00BD1EF8">
        <w:t xml:space="preserve">са постъпили </w:t>
      </w:r>
      <w:r w:rsidRPr="00C941D6">
        <w:t>826,2</w:t>
      </w:r>
      <w:r w:rsidRPr="00BD1EF8">
        <w:t xml:space="preserve"> млн. лева.</w:t>
      </w:r>
      <w:r w:rsidR="00655915">
        <w:t> </w:t>
      </w:r>
      <w:r w:rsidRPr="00BD1EF8">
        <w:t>С най-значителен дял в приходите от имуществени данъци e данъкът върху недвижимите имоти</w:t>
      </w:r>
      <w:r w:rsidRPr="00221D70">
        <w:t xml:space="preserve"> – 35,8 %, следват</w:t>
      </w:r>
      <w:r w:rsidRPr="00BD1EF8">
        <w:t xml:space="preserve"> данъкъ</w:t>
      </w:r>
      <w:r w:rsidRPr="00221D70">
        <w:t>т върху превозните средства – 33,7</w:t>
      </w:r>
      <w:r w:rsidRPr="00BD1EF8">
        <w:rPr>
          <w:lang w:val="ru-RU"/>
        </w:rPr>
        <w:t xml:space="preserve"> </w:t>
      </w:r>
      <w:r w:rsidRPr="00BD1EF8">
        <w:t>%, данъкът върху придобиването на имущество п</w:t>
      </w:r>
      <w:r w:rsidRPr="00007B0A">
        <w:t>о дарения и възмезден начин – 29,5</w:t>
      </w:r>
      <w:r w:rsidRPr="00BD1EF8">
        <w:rPr>
          <w:lang w:val="ru-RU"/>
        </w:rPr>
        <w:t xml:space="preserve"> </w:t>
      </w:r>
      <w:r w:rsidRPr="00007B0A">
        <w:t>% и туристическият данък – 0,9</w:t>
      </w:r>
      <w:r w:rsidRPr="00BD1EF8">
        <w:rPr>
          <w:lang w:val="ru-RU"/>
        </w:rPr>
        <w:t xml:space="preserve"> </w:t>
      </w:r>
      <w:r w:rsidRPr="00007B0A">
        <w:t>%. Към 30</w:t>
      </w:r>
      <w:r w:rsidRPr="00BD1EF8">
        <w:t xml:space="preserve"> </w:t>
      </w:r>
      <w:r w:rsidRPr="00007B0A">
        <w:t>юни</w:t>
      </w:r>
      <w:r w:rsidRPr="00BD1EF8">
        <w:t xml:space="preserve"> 2023 г. по бюдж</w:t>
      </w:r>
      <w:r w:rsidRPr="00007B0A">
        <w:t>етите на общините са постъпили 6,4</w:t>
      </w:r>
      <w:r w:rsidRPr="00BD1EF8">
        <w:t xml:space="preserve"> млн. лв. приходи от </w:t>
      </w:r>
      <w:r w:rsidRPr="00BD1EF8">
        <w:rPr>
          <w:i/>
        </w:rPr>
        <w:t>патентен данък и данък върху таксиметров превоз на пътници.</w:t>
      </w:r>
    </w:p>
    <w:p w14:paraId="1C608C9C" w14:textId="463DA077" w:rsidR="00B019A1" w:rsidRPr="00BD1EF8" w:rsidRDefault="00B019A1" w:rsidP="00345FA1">
      <w:pPr>
        <w:tabs>
          <w:tab w:val="center" w:pos="4153"/>
          <w:tab w:val="right" w:pos="8306"/>
        </w:tabs>
        <w:ind w:firstLine="709"/>
        <w:jc w:val="both"/>
        <w:rPr>
          <w:color w:val="0070C0"/>
        </w:rPr>
      </w:pPr>
      <w:r w:rsidRPr="00F137C6">
        <w:t>Общият размер на</w:t>
      </w:r>
      <w:r w:rsidR="00655915">
        <w:t> </w:t>
      </w:r>
      <w:r w:rsidRPr="00F137C6">
        <w:rPr>
          <w:i/>
        </w:rPr>
        <w:t>неданъчните приходи</w:t>
      </w:r>
      <w:r w:rsidRPr="00F137C6">
        <w:t xml:space="preserve"> по местните бюджети към 30 юни 2023 г.</w:t>
      </w:r>
      <w:r w:rsidR="00655915">
        <w:t> </w:t>
      </w:r>
      <w:r w:rsidRPr="00F137C6">
        <w:t>е</w:t>
      </w:r>
      <w:r w:rsidR="00655915">
        <w:t> </w:t>
      </w:r>
      <w:r w:rsidRPr="00F137C6">
        <w:rPr>
          <w:lang w:val="ru-RU"/>
        </w:rPr>
        <w:t>1</w:t>
      </w:r>
      <w:r w:rsidR="00345FA1">
        <w:rPr>
          <w:lang w:val="ru-RU"/>
        </w:rPr>
        <w:t> </w:t>
      </w:r>
      <w:r w:rsidRPr="00F137C6">
        <w:t>030,1</w:t>
      </w:r>
      <w:r w:rsidR="00BC7453">
        <w:rPr>
          <w:lang w:val="ru-RU"/>
        </w:rPr>
        <w:t> </w:t>
      </w:r>
      <w:r w:rsidRPr="00D51978">
        <w:t>млн.</w:t>
      </w:r>
      <w:r w:rsidR="00BC7453">
        <w:t> </w:t>
      </w:r>
      <w:r w:rsidRPr="00D51978">
        <w:t>лв.</w:t>
      </w:r>
      <w:r w:rsidR="00655915">
        <w:t> </w:t>
      </w:r>
      <w:r w:rsidRPr="00D51978">
        <w:t>Най-голям относителен дял заемат приходите от общински такси</w:t>
      </w:r>
      <w:r w:rsidR="00655915">
        <w:t> </w:t>
      </w:r>
      <w:r w:rsidRPr="00D51978">
        <w:t>(665,5</w:t>
      </w:r>
      <w:r w:rsidR="00306DB1">
        <w:t> </w:t>
      </w:r>
      <w:r w:rsidRPr="00D51978">
        <w:t>млн. лв.) или 64,6 %, следват приходите и доходите от собственост (177,5 млн. лв.) – 17,2 %, постъпленията</w:t>
      </w:r>
      <w:r w:rsidR="00CB312F">
        <w:t xml:space="preserve"> </w:t>
      </w:r>
      <w:r w:rsidRPr="00D51978">
        <w:t>от продажба на нефинансови ак</w:t>
      </w:r>
      <w:r w:rsidR="00345FA1">
        <w:t>тиви</w:t>
      </w:r>
      <w:r w:rsidR="00CB312F">
        <w:t xml:space="preserve"> </w:t>
      </w:r>
      <w:r w:rsidR="00345FA1">
        <w:t>(132,9 млн. лв.)</w:t>
      </w:r>
      <w:r w:rsidR="00CB312F">
        <w:t xml:space="preserve"> </w:t>
      </w:r>
      <w:r w:rsidR="00345FA1">
        <w:t>–</w:t>
      </w:r>
      <w:r w:rsidR="00CB312F">
        <w:t xml:space="preserve"> </w:t>
      </w:r>
      <w:r w:rsidR="00345FA1">
        <w:t>12,9 %,</w:t>
      </w:r>
      <w:r w:rsidR="00C227C7">
        <w:t xml:space="preserve"> </w:t>
      </w:r>
      <w:r w:rsidRPr="00C227C7">
        <w:t>постъпленията от</w:t>
      </w:r>
      <w:r w:rsidR="00655915" w:rsidRPr="00C227C7">
        <w:t> </w:t>
      </w:r>
      <w:r w:rsidRPr="00C227C7">
        <w:t>глоби,</w:t>
      </w:r>
      <w:r w:rsidR="00306DB1" w:rsidRPr="00C227C7">
        <w:t> </w:t>
      </w:r>
      <w:r w:rsidRPr="00C227C7">
        <w:t>санкции</w:t>
      </w:r>
      <w:r w:rsidR="00306DB1" w:rsidRPr="00C227C7">
        <w:t> </w:t>
      </w:r>
      <w:r w:rsidRPr="00C227C7">
        <w:t>и</w:t>
      </w:r>
      <w:r w:rsidR="00306DB1" w:rsidRPr="00C227C7">
        <w:t> </w:t>
      </w:r>
      <w:r w:rsidRPr="00C227C7">
        <w:t>наказателни</w:t>
      </w:r>
      <w:r w:rsidR="00306DB1" w:rsidRPr="00C227C7">
        <w:t> </w:t>
      </w:r>
      <w:r w:rsidRPr="00C227C7">
        <w:t>лихви</w:t>
      </w:r>
      <w:r w:rsidR="00655915" w:rsidRPr="00C227C7">
        <w:t> </w:t>
      </w:r>
      <w:r w:rsidRPr="00C227C7">
        <w:t>(38,6 млн. лв.) – 3,7 % и приходите от</w:t>
      </w:r>
      <w:r w:rsidRPr="00D51978">
        <w:t xml:space="preserve"> концесии </w:t>
      </w:r>
      <w:r w:rsidRPr="00D51978">
        <w:rPr>
          <w:lang w:val="ru-RU"/>
        </w:rPr>
        <w:t xml:space="preserve">(30,8 </w:t>
      </w:r>
      <w:r w:rsidRPr="00D51978">
        <w:t>млн. лв.</w:t>
      </w:r>
      <w:r w:rsidRPr="00D51978">
        <w:rPr>
          <w:lang w:val="ru-RU"/>
        </w:rPr>
        <w:t xml:space="preserve">) – 3,0 %. </w:t>
      </w:r>
      <w:r w:rsidRPr="00D51978">
        <w:t>Съпоставени с второто тримесечие на 2022 г. постъпленията от неданъчни приходи са с 95,</w:t>
      </w:r>
      <w:r w:rsidRPr="00D51978">
        <w:rPr>
          <w:lang w:val="ru-RU"/>
        </w:rPr>
        <w:t>4</w:t>
      </w:r>
      <w:r w:rsidRPr="00D51978">
        <w:t xml:space="preserve"> млн. лв. или с 10,</w:t>
      </w:r>
      <w:r w:rsidRPr="00D51978">
        <w:rPr>
          <w:lang w:val="ru-RU"/>
        </w:rPr>
        <w:t>2</w:t>
      </w:r>
      <w:r w:rsidRPr="00D51978">
        <w:t xml:space="preserve"> % повече, като най-значителен ръст се наблюдава в постъпленията от продажба на нефинансови активи. </w:t>
      </w:r>
    </w:p>
    <w:p w14:paraId="3EFEF265" w14:textId="77777777" w:rsidR="00B019A1" w:rsidRPr="00D51978" w:rsidRDefault="00B019A1" w:rsidP="00B019A1">
      <w:pPr>
        <w:tabs>
          <w:tab w:val="center" w:pos="4153"/>
          <w:tab w:val="right" w:pos="8306"/>
        </w:tabs>
        <w:jc w:val="both"/>
        <w:rPr>
          <w:lang w:eastAsia="bg-BG"/>
        </w:rPr>
      </w:pPr>
      <w:r>
        <w:tab/>
        <w:t xml:space="preserve">            </w:t>
      </w:r>
      <w:r w:rsidRPr="00D51978">
        <w:t>Към края на месец юни 2023 г. по общинските бюджети са постъпили 15,0 млн. лв. приходи от помощи и дарения, което е с 5,3 млн. лв. повече от размера им през същия период на  миналата година.</w:t>
      </w:r>
      <w:r w:rsidRPr="00D51978">
        <w:rPr>
          <w:lang w:eastAsia="bg-BG"/>
        </w:rPr>
        <w:t xml:space="preserve"> </w:t>
      </w:r>
    </w:p>
    <w:p w14:paraId="59E5916E" w14:textId="77777777" w:rsidR="00B019A1" w:rsidRPr="00D51978" w:rsidRDefault="00B019A1" w:rsidP="00B019A1">
      <w:pPr>
        <w:numPr>
          <w:ilvl w:val="0"/>
          <w:numId w:val="27"/>
        </w:numPr>
        <w:tabs>
          <w:tab w:val="left" w:pos="851"/>
        </w:tabs>
        <w:spacing w:before="240" w:line="276" w:lineRule="auto"/>
        <w:ind w:left="533" w:firstLine="34"/>
        <w:jc w:val="both"/>
        <w:rPr>
          <w:b/>
        </w:rPr>
      </w:pPr>
      <w:r w:rsidRPr="00D51978">
        <w:rPr>
          <w:b/>
        </w:rPr>
        <w:t>Разходи</w:t>
      </w:r>
    </w:p>
    <w:p w14:paraId="5709026D" w14:textId="317C4653" w:rsidR="00B019A1" w:rsidRPr="00BD1EF8" w:rsidRDefault="00B019A1" w:rsidP="00B019A1">
      <w:pPr>
        <w:ind w:firstLine="567"/>
        <w:jc w:val="both"/>
        <w:rPr>
          <w:color w:val="0070C0"/>
        </w:rPr>
      </w:pPr>
      <w:r w:rsidRPr="00D51978">
        <w:t xml:space="preserve">Към 30.06.2023 г. общините са отчели общо разходи в </w:t>
      </w:r>
      <w:r w:rsidRPr="00114357">
        <w:t xml:space="preserve">размер на 5 </w:t>
      </w:r>
      <w:r w:rsidRPr="00114357">
        <w:rPr>
          <w:lang w:val="ru-RU"/>
        </w:rPr>
        <w:t>124</w:t>
      </w:r>
      <w:r w:rsidRPr="00114357">
        <w:t xml:space="preserve">,6 млн. лв., които са с </w:t>
      </w:r>
      <w:r w:rsidRPr="00114357">
        <w:rPr>
          <w:lang w:val="ru-RU"/>
        </w:rPr>
        <w:t>928</w:t>
      </w:r>
      <w:r w:rsidRPr="00114357">
        <w:t>,1 млн. лв. пов</w:t>
      </w:r>
      <w:r w:rsidR="00DC7045">
        <w:t>ече спрямо</w:t>
      </w:r>
      <w:r>
        <w:t xml:space="preserve"> същия период на предходната </w:t>
      </w:r>
      <w:r w:rsidRPr="00114357">
        <w:t>година.</w:t>
      </w:r>
    </w:p>
    <w:p w14:paraId="0FAEE4CB" w14:textId="77777777" w:rsidR="00B019A1" w:rsidRPr="00BD1EF8" w:rsidRDefault="00B019A1" w:rsidP="00B019A1">
      <w:pPr>
        <w:ind w:firstLine="567"/>
        <w:jc w:val="both"/>
        <w:rPr>
          <w:color w:val="0070C0"/>
        </w:rPr>
      </w:pPr>
      <w:r w:rsidRPr="00114357">
        <w:rPr>
          <w:i/>
        </w:rPr>
        <w:t>Нелихвените разходи</w:t>
      </w:r>
      <w:r w:rsidRPr="00114357">
        <w:t xml:space="preserve"> възлизат </w:t>
      </w:r>
      <w:r w:rsidRPr="002C6EAC">
        <w:t>на 5</w:t>
      </w:r>
      <w:r w:rsidRPr="002C6EAC">
        <w:rPr>
          <w:lang w:val="ru-RU"/>
        </w:rPr>
        <w:t xml:space="preserve"> </w:t>
      </w:r>
      <w:r w:rsidRPr="002C6EAC">
        <w:t>103,4 млн. лв.</w:t>
      </w:r>
      <w:r w:rsidRPr="002C6EAC">
        <w:rPr>
          <w:lang w:val="ru-RU"/>
        </w:rPr>
        <w:t xml:space="preserve"> С най-голям относителен дял са</w:t>
      </w:r>
      <w:r w:rsidRPr="002C6EAC">
        <w:t xml:space="preserve"> разходите за персонал (</w:t>
      </w:r>
      <w:r w:rsidRPr="002C6EAC">
        <w:rPr>
          <w:bCs/>
        </w:rPr>
        <w:t>заплати и възнаграждения, други възнаграждения и плащания за персонала и осигурителни вноски), които</w:t>
      </w:r>
      <w:r w:rsidRPr="002C6EAC">
        <w:t xml:space="preserve"> са в размер на </w:t>
      </w:r>
      <w:r w:rsidRPr="002C6EAC">
        <w:rPr>
          <w:lang w:val="ru-RU"/>
        </w:rPr>
        <w:t>2</w:t>
      </w:r>
      <w:r w:rsidRPr="002C6EAC">
        <w:t> </w:t>
      </w:r>
      <w:r w:rsidRPr="002C6EAC">
        <w:rPr>
          <w:lang w:val="ru-RU"/>
        </w:rPr>
        <w:t>865</w:t>
      </w:r>
      <w:r w:rsidRPr="002C6EAC">
        <w:t xml:space="preserve">,8 млн. лв. – 56,2 %, следвани от  разходите за издръжка </w:t>
      </w:r>
      <w:r w:rsidRPr="002C6EAC">
        <w:rPr>
          <w:bCs/>
        </w:rPr>
        <w:t>(вкл. разходи за членски внос и участие в нетърговски организации и дейности, платени данъци, такси и административни санкции), които</w:t>
      </w:r>
      <w:r w:rsidRPr="002C6EAC">
        <w:t xml:space="preserve"> са в размер на</w:t>
      </w:r>
      <w:r w:rsidRPr="002C6EAC">
        <w:rPr>
          <w:lang w:val="ru-RU"/>
        </w:rPr>
        <w:t xml:space="preserve"> 1 </w:t>
      </w:r>
      <w:r w:rsidRPr="002C6EAC">
        <w:t>304,1</w:t>
      </w:r>
      <w:r>
        <w:t xml:space="preserve"> млн. лв</w:t>
      </w:r>
      <w:r w:rsidRPr="006D6619">
        <w:t>.</w:t>
      </w:r>
      <w:r>
        <w:t xml:space="preserve"> – 25,6 %.</w:t>
      </w:r>
      <w:r w:rsidRPr="006D6619">
        <w:t xml:space="preserve"> Разходите за субсидии възлизат на 226,2 млн. лв. </w:t>
      </w:r>
      <w:r w:rsidRPr="006D6619">
        <w:rPr>
          <w:lang w:eastAsia="bg-BG"/>
        </w:rPr>
        <w:t>В разходите за субсидии за нефинансови предприятия се отчитат предоставените от общините субсидии за вътрешноградски и междуселищни превози на транспортните фирми и дружества, които се планират в централния бюджет, както и тези, които се предоставят по решение на общинския съвет. Като разходи за субсидии за организации с нестопанска цел се отчитат отпусканите по решение на общинския съвет субсидии по реда на Закона за физкултурата и спорта за подпомагане дейността на спортните клубове в общините</w:t>
      </w:r>
      <w:r w:rsidRPr="006D6619">
        <w:rPr>
          <w:lang w:val="ru-RU" w:eastAsia="bg-BG"/>
        </w:rPr>
        <w:t xml:space="preserve"> (</w:t>
      </w:r>
      <w:r w:rsidRPr="006D6619">
        <w:rPr>
          <w:lang w:eastAsia="bg-BG"/>
        </w:rPr>
        <w:t>отчитат се в местните дейности</w:t>
      </w:r>
      <w:r w:rsidRPr="006D6619">
        <w:rPr>
          <w:lang w:val="ru-RU" w:eastAsia="bg-BG"/>
        </w:rPr>
        <w:t>)</w:t>
      </w:r>
      <w:r w:rsidRPr="006D6619">
        <w:rPr>
          <w:lang w:eastAsia="bg-BG"/>
        </w:rPr>
        <w:t>.</w:t>
      </w:r>
      <w:r w:rsidRPr="006D6619">
        <w:t xml:space="preserve"> </w:t>
      </w:r>
      <w:r w:rsidRPr="008A045B">
        <w:rPr>
          <w:bCs/>
        </w:rPr>
        <w:t>Социалните разходи (</w:t>
      </w:r>
      <w:r w:rsidRPr="008A045B">
        <w:t xml:space="preserve">текущи трансфери, обезщетения и помощи за домакинствата, </w:t>
      </w:r>
      <w:r w:rsidRPr="008A045B">
        <w:rPr>
          <w:bCs/>
        </w:rPr>
        <w:t>вкл. разходите за стипендии)</w:t>
      </w:r>
      <w:r w:rsidRPr="008A045B">
        <w:t xml:space="preserve"> са в размер на 109,0 млн. лева.</w:t>
      </w:r>
    </w:p>
    <w:p w14:paraId="438C0761" w14:textId="668DB1BA" w:rsidR="00B019A1" w:rsidRPr="00330058" w:rsidRDefault="00B019A1" w:rsidP="00B019A1">
      <w:pPr>
        <w:ind w:firstLine="567"/>
        <w:jc w:val="both"/>
        <w:rPr>
          <w:lang w:val="ru-RU" w:eastAsia="bg-BG"/>
        </w:rPr>
      </w:pPr>
      <w:r w:rsidRPr="00330058">
        <w:rPr>
          <w:lang w:eastAsia="bg-BG"/>
        </w:rPr>
        <w:t>Капиталовите разходи са в размер на 598,2 млн. лв.,</w:t>
      </w:r>
      <w:r w:rsidRPr="00330058">
        <w:rPr>
          <w:lang w:val="ru-RU" w:eastAsia="bg-BG"/>
        </w:rPr>
        <w:t xml:space="preserve"> </w:t>
      </w:r>
      <w:r w:rsidRPr="00330058">
        <w:rPr>
          <w:lang w:eastAsia="bg-BG"/>
        </w:rPr>
        <w:t>което е с 269,6</w:t>
      </w:r>
      <w:r w:rsidR="005C5E87">
        <w:rPr>
          <w:lang w:eastAsia="bg-BG"/>
        </w:rPr>
        <w:t xml:space="preserve"> млн. лв. или с 82,0 % повече спрямо</w:t>
      </w:r>
      <w:r w:rsidRPr="00330058">
        <w:rPr>
          <w:lang w:eastAsia="bg-BG"/>
        </w:rPr>
        <w:t xml:space="preserve"> същия период на миналата годи</w:t>
      </w:r>
      <w:r w:rsidR="005C5E87">
        <w:rPr>
          <w:lang w:eastAsia="bg-BG"/>
        </w:rPr>
        <w:t>на. От общия обем на</w:t>
      </w:r>
      <w:r w:rsidRPr="00330058">
        <w:rPr>
          <w:lang w:eastAsia="bg-BG"/>
        </w:rPr>
        <w:t xml:space="preserve"> капиталови</w:t>
      </w:r>
      <w:r w:rsidR="005C5E87">
        <w:rPr>
          <w:lang w:eastAsia="bg-BG"/>
        </w:rPr>
        <w:t>те</w:t>
      </w:r>
      <w:r w:rsidRPr="00330058">
        <w:rPr>
          <w:lang w:eastAsia="bg-BG"/>
        </w:rPr>
        <w:t xml:space="preserve"> разходи най-съществен дял </w:t>
      </w:r>
      <w:r w:rsidRPr="00330058">
        <w:rPr>
          <w:lang w:val="ru-RU" w:eastAsia="bg-BG"/>
        </w:rPr>
        <w:t>(55,7</w:t>
      </w:r>
      <w:r w:rsidRPr="00330058">
        <w:rPr>
          <w:lang w:eastAsia="bg-BG"/>
        </w:rPr>
        <w:t> </w:t>
      </w:r>
      <w:r w:rsidRPr="00330058">
        <w:rPr>
          <w:lang w:val="ru-RU" w:eastAsia="bg-BG"/>
        </w:rPr>
        <w:t>%</w:t>
      </w:r>
      <w:r w:rsidRPr="00330058">
        <w:rPr>
          <w:lang w:eastAsia="bg-BG"/>
        </w:rPr>
        <w:t>) заем</w:t>
      </w:r>
      <w:r w:rsidR="00D458A5">
        <w:rPr>
          <w:lang w:eastAsia="bg-BG"/>
        </w:rPr>
        <w:t>ат разходите за основен ремонт</w:t>
      </w:r>
      <w:r w:rsidRPr="00330058">
        <w:rPr>
          <w:lang w:eastAsia="bg-BG"/>
        </w:rPr>
        <w:t xml:space="preserve"> </w:t>
      </w:r>
      <w:r w:rsidR="00D458A5" w:rsidRPr="00D458A5">
        <w:rPr>
          <w:lang w:val="ru-RU" w:eastAsia="bg-BG"/>
        </w:rPr>
        <w:t>(</w:t>
      </w:r>
      <w:r w:rsidRPr="00330058">
        <w:rPr>
          <w:lang w:eastAsia="bg-BG"/>
        </w:rPr>
        <w:t>333,2 млн. лв.</w:t>
      </w:r>
      <w:r w:rsidR="00D458A5" w:rsidRPr="00D458A5">
        <w:rPr>
          <w:lang w:val="ru-RU" w:eastAsia="bg-BG"/>
        </w:rPr>
        <w:t>)</w:t>
      </w:r>
      <w:r w:rsidRPr="00330058">
        <w:rPr>
          <w:lang w:eastAsia="bg-BG"/>
        </w:rPr>
        <w:t xml:space="preserve"> и за придобиване на ДМА </w:t>
      </w:r>
      <w:r w:rsidRPr="00330058">
        <w:rPr>
          <w:lang w:val="ru-RU" w:eastAsia="bg-BG"/>
        </w:rPr>
        <w:t xml:space="preserve">(42,5 % </w:t>
      </w:r>
      <w:r w:rsidRPr="00330058">
        <w:rPr>
          <w:lang w:eastAsia="bg-BG"/>
        </w:rPr>
        <w:t>дял, 254,3 млн. лева</w:t>
      </w:r>
      <w:r w:rsidRPr="00330058">
        <w:rPr>
          <w:lang w:val="ru-RU" w:eastAsia="bg-BG"/>
        </w:rPr>
        <w:t>).</w:t>
      </w:r>
    </w:p>
    <w:p w14:paraId="6E03E096" w14:textId="77777777" w:rsidR="00B019A1" w:rsidRPr="00536863" w:rsidRDefault="00B019A1" w:rsidP="00B019A1">
      <w:pPr>
        <w:widowControl w:val="0"/>
        <w:tabs>
          <w:tab w:val="center" w:pos="4153"/>
          <w:tab w:val="right" w:pos="8306"/>
        </w:tabs>
        <w:ind w:firstLine="567"/>
        <w:jc w:val="both"/>
      </w:pPr>
      <w:r w:rsidRPr="00184A55">
        <w:rPr>
          <w:i/>
        </w:rPr>
        <w:t xml:space="preserve">Разходите за лихви към </w:t>
      </w:r>
      <w:r w:rsidRPr="00184A55">
        <w:t>30.06. 2023 г. възлизат на 21,2 млн. лв.</w:t>
      </w:r>
      <w:r w:rsidRPr="00184A55">
        <w:rPr>
          <w:lang w:val="ru-RU"/>
        </w:rPr>
        <w:t xml:space="preserve"> </w:t>
      </w:r>
      <w:r w:rsidRPr="00184A55">
        <w:t xml:space="preserve"> За същия период на миналата година те са били 17,0 млн. лева. Лихвените плащания по заеми от чужбина са в размер на 8,5 млн. лв. (с 0,2 млн. лв. повече в сравнение със същия период на миналата </w:t>
      </w:r>
      <w:r w:rsidRPr="00536863">
        <w:t>година). По облигационни заеми платените лихви са 0,9 млн. лв., а по други вътрешни заеми към местни лица (банкови кредити, заеми към „ФЛАГ“ ЕАД и към др. местни лица) са 9,5 млн. лв. Отчетените други лихвени плащания са в размер на 2,3 млн. лв. (в т.ч. 0,2 млн. лв. по заеми от централния бюджет и от други бюджетни организации).</w:t>
      </w:r>
    </w:p>
    <w:p w14:paraId="25CBDE38" w14:textId="77777777" w:rsidR="00B019A1" w:rsidRPr="00536863" w:rsidRDefault="00B019A1" w:rsidP="00B019A1">
      <w:pPr>
        <w:tabs>
          <w:tab w:val="center" w:pos="4153"/>
          <w:tab w:val="right" w:pos="8306"/>
        </w:tabs>
        <w:ind w:firstLine="567"/>
        <w:jc w:val="both"/>
        <w:rPr>
          <w:rFonts w:eastAsia="Calibri"/>
          <w:sz w:val="8"/>
        </w:rPr>
      </w:pPr>
      <w:r w:rsidRPr="00536863">
        <w:rPr>
          <w:lang w:eastAsia="bg-BG"/>
        </w:rPr>
        <w:tab/>
        <w:t>Общият размер на отчетените разходи за дофинансиране на делегираните от държавата дейности с местни приходи е 105,3 млн. лева.</w:t>
      </w:r>
    </w:p>
    <w:p w14:paraId="1918CA69" w14:textId="77777777" w:rsidR="00B019A1" w:rsidRPr="00536863" w:rsidRDefault="00B019A1" w:rsidP="00B019A1">
      <w:pPr>
        <w:numPr>
          <w:ilvl w:val="0"/>
          <w:numId w:val="27"/>
        </w:numPr>
        <w:tabs>
          <w:tab w:val="left" w:pos="851"/>
        </w:tabs>
        <w:spacing w:before="240" w:line="276" w:lineRule="auto"/>
        <w:ind w:left="533" w:firstLine="34"/>
        <w:jc w:val="both"/>
        <w:rPr>
          <w:b/>
        </w:rPr>
      </w:pPr>
      <w:r w:rsidRPr="00536863">
        <w:rPr>
          <w:b/>
        </w:rPr>
        <w:t>Финансиране</w:t>
      </w:r>
    </w:p>
    <w:p w14:paraId="6719DD3B" w14:textId="77777777" w:rsidR="00B019A1" w:rsidRPr="00536863" w:rsidRDefault="00B019A1" w:rsidP="00B019A1">
      <w:pPr>
        <w:ind w:firstLine="567"/>
        <w:jc w:val="both"/>
      </w:pPr>
      <w:r w:rsidRPr="00536863">
        <w:t xml:space="preserve">От началото на годината до 30.06.2023 г. по общинските бюджети не са получавани заемни средства от договори с чуждестранни кредитори. </w:t>
      </w:r>
    </w:p>
    <w:p w14:paraId="66491E63" w14:textId="77777777" w:rsidR="00B019A1" w:rsidRPr="009C24FB" w:rsidRDefault="00B019A1" w:rsidP="00B019A1">
      <w:pPr>
        <w:ind w:firstLine="567"/>
        <w:jc w:val="both"/>
      </w:pPr>
      <w:r w:rsidRPr="009C24FB">
        <w:t>Изплатените главници по външните заеми за същия период са в размер на 22,5 млн. лв. (от Столична община – 17,9 млн. лв., община Бургас – 1,0 млн. лв., Варна – 1,8 млн. лв., Пловдив – 1,5 млн. лв. и от община Ловеч са 0,2 млн. лв.).</w:t>
      </w:r>
    </w:p>
    <w:p w14:paraId="1E1FA2C5" w14:textId="1D6F4FC3" w:rsidR="00B019A1" w:rsidRPr="00BD1EF8" w:rsidRDefault="00B019A1" w:rsidP="00B019A1">
      <w:pPr>
        <w:widowControl w:val="0"/>
        <w:ind w:firstLine="567"/>
        <w:jc w:val="both"/>
        <w:rPr>
          <w:color w:val="0070C0"/>
          <w:lang w:eastAsia="bg-BG"/>
        </w:rPr>
      </w:pPr>
      <w:r w:rsidRPr="009C24FB">
        <w:t xml:space="preserve">За отчетния период получените заемни средства от банки в страната са в размер на 84,9 млн. лв., а от други местни лица са 84,2 млн. лв. (в т.ч. 57,6 млн. лв. от „ФЛАГ“ ЕАД) или общо получените заемни средства са 169,1 млн. лв. </w:t>
      </w:r>
      <w:r w:rsidRPr="00CF3A73">
        <w:t xml:space="preserve">Изплатените главници по банкови заеми от страната са 35,7 млн. лв., а по заеми от други лица са 45,0 млн. лв. (в т.ч. 42,4 млн. лв. към „ФЛАГ“ ЕАД ) или общо платените главници са в размер на 80,7 млн. лв. </w:t>
      </w:r>
      <w:r w:rsidRPr="00364BE1">
        <w:t>Погашенията за периода по заемите от страната е по-малък от получените средства, поради което нетният размер на операциите по тези заеми е положителен (88,4) млн. лв. За сравнение, за същия период на 2022 г</w:t>
      </w:r>
      <w:r w:rsidR="00D458A5" w:rsidRPr="00D458A5">
        <w:rPr>
          <w:lang w:val="ru-RU"/>
        </w:rPr>
        <w:t>.</w:t>
      </w:r>
      <w:r w:rsidRPr="00364BE1">
        <w:t xml:space="preserve">, получените заемни средства от банки в страната и др. местни лица също са били повече от погашенията, но нетният положителен размер е бил по-малък </w:t>
      </w:r>
      <w:r w:rsidRPr="00364BE1">
        <w:rPr>
          <w:lang w:val="ru-RU"/>
        </w:rPr>
        <w:t>(10,6</w:t>
      </w:r>
      <w:r w:rsidRPr="00364BE1">
        <w:t xml:space="preserve"> млн. лв.).</w:t>
      </w:r>
    </w:p>
    <w:p w14:paraId="3EB41B23" w14:textId="77777777" w:rsidR="00B019A1" w:rsidRPr="00364BE1" w:rsidRDefault="00B019A1" w:rsidP="00B019A1">
      <w:pPr>
        <w:widowControl w:val="0"/>
        <w:ind w:firstLine="567"/>
        <w:jc w:val="both"/>
        <w:rPr>
          <w:lang w:eastAsia="bg-BG"/>
        </w:rPr>
      </w:pPr>
      <w:r w:rsidRPr="00364BE1">
        <w:t>Погашенията по емитирани през предходни периоди общински ценни книжа са в размер на 25,3 млн. лв. и са отчетени от 8 общини. За отчетния период няма емитиран нов дълг.</w:t>
      </w:r>
      <w:r w:rsidRPr="00364BE1">
        <w:rPr>
          <w:lang w:eastAsia="bg-BG"/>
        </w:rPr>
        <w:t xml:space="preserve"> </w:t>
      </w:r>
    </w:p>
    <w:p w14:paraId="1E81D0B4" w14:textId="77777777" w:rsidR="00B019A1" w:rsidRPr="00D3407E" w:rsidRDefault="00B019A1" w:rsidP="00B019A1">
      <w:pPr>
        <w:ind w:firstLine="567"/>
        <w:jc w:val="both"/>
      </w:pPr>
      <w:r w:rsidRPr="00D3407E">
        <w:t>Другото финансиране /нето/ по общинските бюджети към 30.06.2023 г. е 18,8 млн. лв., като съществена част от него представляват отчетените операции по Закона за управление на отпадъците. Нетният размер за периода на задълженията и погашенията по финансов лизинг и търговски кредити, като форми на дълг, е в размер на (-0,6) млн. л</w:t>
      </w:r>
      <w:r>
        <w:t>e</w:t>
      </w:r>
      <w:r w:rsidRPr="00D3407E">
        <w:t>в</w:t>
      </w:r>
      <w:r>
        <w:t>а</w:t>
      </w:r>
      <w:r w:rsidRPr="00D3407E">
        <w:t xml:space="preserve">. </w:t>
      </w:r>
    </w:p>
    <w:p w14:paraId="75304BB3" w14:textId="77777777" w:rsidR="00B019A1" w:rsidRPr="00D3407E" w:rsidRDefault="00B019A1" w:rsidP="00B019A1">
      <w:pPr>
        <w:ind w:firstLine="720"/>
        <w:jc w:val="both"/>
      </w:pPr>
      <w:r w:rsidRPr="00D3407E">
        <w:t>Нетният размер на събраните средства и извършени плащания от общините за сметка на други бюджети, сметки и фондове е в размер на (-102,1) млн. лв.</w:t>
      </w:r>
    </w:p>
    <w:p w14:paraId="58D508B6" w14:textId="77777777" w:rsidR="00B019A1" w:rsidRPr="00D3407E" w:rsidRDefault="00B019A1" w:rsidP="00B019A1">
      <w:pPr>
        <w:ind w:firstLine="720"/>
        <w:jc w:val="both"/>
      </w:pPr>
      <w:r w:rsidRPr="00D3407E">
        <w:t xml:space="preserve">Към 30.06.2023 г. отчетеният от общините нетен размер на операциите по придобиване на дялове, акции и съучастия е в размер на (-1,9) млн. лв. </w:t>
      </w:r>
    </w:p>
    <w:p w14:paraId="7FBC2387" w14:textId="77777777" w:rsidR="00B019A1" w:rsidRPr="00AC6AD7" w:rsidRDefault="00B019A1" w:rsidP="00B019A1">
      <w:pPr>
        <w:ind w:firstLine="720"/>
        <w:jc w:val="both"/>
      </w:pPr>
      <w:r w:rsidRPr="00AC6AD7">
        <w:t>Средствата по общинските бюджети от приватизация на дялове, акции и участия за периода са в размер на 0,9 млн. лв.</w:t>
      </w:r>
    </w:p>
    <w:p w14:paraId="6FABE415" w14:textId="77777777" w:rsidR="00B019A1" w:rsidRPr="00402C42" w:rsidRDefault="00B019A1" w:rsidP="00B019A1">
      <w:pPr>
        <w:ind w:firstLine="720"/>
        <w:jc w:val="both"/>
      </w:pPr>
      <w:r w:rsidRPr="00402C42">
        <w:t xml:space="preserve">Отчетеният нетен размер по общинските бюджети на възмездната финансова помощ  е </w:t>
      </w:r>
      <w:r w:rsidRPr="00402C42">
        <w:rPr>
          <w:lang w:val="ru-RU"/>
        </w:rPr>
        <w:t xml:space="preserve">(-7,9) </w:t>
      </w:r>
      <w:r w:rsidRPr="00402C42">
        <w:t>млн. лв., а на предоставените кредити от общинските бюджети е (-2,2) млн. лeва.</w:t>
      </w:r>
    </w:p>
    <w:p w14:paraId="3059E527" w14:textId="77777777" w:rsidR="00B019A1" w:rsidRPr="003554E2" w:rsidRDefault="00B019A1" w:rsidP="00B019A1">
      <w:pPr>
        <w:widowControl w:val="0"/>
        <w:ind w:firstLine="708"/>
        <w:jc w:val="both"/>
      </w:pPr>
      <w:r w:rsidRPr="003554E2">
        <w:t xml:space="preserve">Общините отчитат 2 162,0 млн. лв. бюджетен преходен остатък, а наличността към края на второто тримесечие на 2023 г. (по банкови сметки и каса) нараства и е в размер на 2 689,2 млн. лв. (със 194,9 млн. лв. повече от същия период на миналата година). Преводите в процес на сетълмент са (- 13,0) млн. лв. Отчетеният остатък в делегираните от държавата дейности е 1 059,1 млн. лв. (39,4%), а 1 630,1 млн. лв. (60,6%) е в местни дейности. </w:t>
      </w:r>
    </w:p>
    <w:p w14:paraId="724EE12C" w14:textId="03B8D5D3" w:rsidR="00750EB3" w:rsidRPr="0055349C" w:rsidRDefault="00B019A1" w:rsidP="00B019A1">
      <w:pPr>
        <w:ind w:firstLine="709"/>
        <w:jc w:val="both"/>
        <w:rPr>
          <w:color w:val="0070C0"/>
        </w:rPr>
      </w:pPr>
      <w:r w:rsidRPr="002449AE">
        <w:t xml:space="preserve">Една част от наличността </w:t>
      </w:r>
      <w:r w:rsidRPr="002449AE">
        <w:rPr>
          <w:lang w:val="ru-RU"/>
        </w:rPr>
        <w:t xml:space="preserve">(564,7 </w:t>
      </w:r>
      <w:r w:rsidRPr="002449AE">
        <w:t>млн. лв.</w:t>
      </w:r>
      <w:r w:rsidRPr="002449AE">
        <w:rPr>
          <w:lang w:val="ru-RU"/>
        </w:rPr>
        <w:t xml:space="preserve">) </w:t>
      </w:r>
      <w:r w:rsidRPr="002449AE">
        <w:t>към 30.06. 2023 г. е от неизразходвани средства, предоставяни на общините през предходни години под формата на субсидии, както и на субсидии от текущата година (821,5 млн. лв.). Друга, съществена част от наличността е от получени през 2023 г., но неизразходвани приходи – 754,6 млн. лв. Неизразходваните средства от получени през предходни години приходи са в размер на 141,7 млн. лева.</w:t>
      </w:r>
    </w:p>
    <w:p w14:paraId="2236B599" w14:textId="77777777" w:rsidR="00751212" w:rsidRPr="0055349C" w:rsidRDefault="00751212" w:rsidP="00F7002C">
      <w:pPr>
        <w:ind w:firstLine="567"/>
        <w:jc w:val="both"/>
        <w:rPr>
          <w:color w:val="0070C0"/>
          <w:lang w:eastAsia="bg-BG"/>
        </w:rPr>
      </w:pPr>
    </w:p>
    <w:p w14:paraId="4A0D01C1" w14:textId="77777777" w:rsidR="002C4D33" w:rsidRPr="0055349C" w:rsidRDefault="002C4D33" w:rsidP="00FD362E">
      <w:pPr>
        <w:pStyle w:val="BodyText"/>
        <w:spacing w:after="120"/>
        <w:ind w:firstLine="567"/>
        <w:rPr>
          <w:color w:val="0070C0"/>
          <w:sz w:val="18"/>
          <w:szCs w:val="12"/>
        </w:rPr>
      </w:pPr>
    </w:p>
    <w:p w14:paraId="0D193125" w14:textId="79A6BC44" w:rsidR="00913197" w:rsidRPr="00E64EDF" w:rsidRDefault="00913197" w:rsidP="00ED2B9A">
      <w:pPr>
        <w:pStyle w:val="Heading1"/>
        <w:numPr>
          <w:ilvl w:val="1"/>
          <w:numId w:val="9"/>
        </w:numPr>
        <w:spacing w:before="120"/>
        <w:ind w:left="788" w:right="-108" w:hanging="431"/>
        <w:jc w:val="both"/>
        <w:rPr>
          <w:sz w:val="24"/>
        </w:rPr>
      </w:pPr>
      <w:bookmarkStart w:id="40" w:name="_Toc109906108"/>
      <w:r w:rsidRPr="00E64EDF">
        <w:rPr>
          <w:sz w:val="24"/>
        </w:rPr>
        <w:t>Бюджети на Българската национална телевизия, Българското национално радио и Българската телеграфна агенция</w:t>
      </w:r>
      <w:bookmarkEnd w:id="40"/>
      <w:r w:rsidRPr="00E64EDF">
        <w:rPr>
          <w:sz w:val="24"/>
        </w:rPr>
        <w:t xml:space="preserve"> </w:t>
      </w:r>
    </w:p>
    <w:p w14:paraId="61474E46" w14:textId="77777777" w:rsidR="00241466" w:rsidRPr="007F6D94" w:rsidRDefault="00241466" w:rsidP="00241466">
      <w:pPr>
        <w:spacing w:before="240"/>
        <w:ind w:firstLine="567"/>
        <w:jc w:val="both"/>
      </w:pPr>
      <w:r w:rsidRPr="007F6D94">
        <w:rPr>
          <w:b/>
        </w:rPr>
        <w:t xml:space="preserve">Приходите на Българската национална телевизия (БНТ) </w:t>
      </w:r>
      <w:r w:rsidRPr="007F6D94">
        <w:t>към 30.06.202</w:t>
      </w:r>
      <w:r w:rsidRPr="007F6D94">
        <w:rPr>
          <w:lang w:val="ru-RU"/>
        </w:rPr>
        <w:t>3</w:t>
      </w:r>
      <w:r w:rsidRPr="007F6D94">
        <w:t xml:space="preserve"> г. са в размер на 7,1 млн. лв. и са с 2,9 млн. лв. повече спрямо отчетените приходи за първото полугодие на предходната година</w:t>
      </w:r>
      <w:r w:rsidRPr="0055349C">
        <w:rPr>
          <w:color w:val="0070C0"/>
        </w:rPr>
        <w:t xml:space="preserve">. </w:t>
      </w:r>
      <w:r w:rsidRPr="007F6D94">
        <w:t>Отчетените приходи са постъпления от продажба на услуги, стоки и продукция (реклама, технически услуги, продажба на програми, приходи от почивно дело, приходи от участия в предизборни форми), наеми на имущество и др.</w:t>
      </w:r>
    </w:p>
    <w:p w14:paraId="0792CF37" w14:textId="77777777" w:rsidR="00241466" w:rsidRPr="0055349C" w:rsidRDefault="00241466" w:rsidP="00241466">
      <w:pPr>
        <w:ind w:firstLine="561"/>
        <w:jc w:val="both"/>
        <w:rPr>
          <w:color w:val="0070C0"/>
        </w:rPr>
      </w:pPr>
      <w:r w:rsidRPr="00AD4E33">
        <w:t xml:space="preserve">Отчетените </w:t>
      </w:r>
      <w:r w:rsidRPr="00AD4E33">
        <w:rPr>
          <w:b/>
        </w:rPr>
        <w:t>разходи</w:t>
      </w:r>
      <w:r w:rsidRPr="00AD4E33">
        <w:t xml:space="preserve"> </w:t>
      </w:r>
      <w:r w:rsidRPr="00AD4E33">
        <w:rPr>
          <w:b/>
        </w:rPr>
        <w:t>на БНТ</w:t>
      </w:r>
      <w:r w:rsidRPr="00AD4E33">
        <w:t xml:space="preserve"> към 30.06.2023 г. са в размер на 45,1 млн. лв. и </w:t>
      </w:r>
      <w:r w:rsidRPr="00B10768">
        <w:t>надвишават отчетените за същия период на предходната година с 1,3 млн. лв. По-високите разходи са резултат от увеличението на заплатите на служителите на БНТ, на възнагражденията на генералния директор и Управителния съвет на БНТ, на минималната работна заплата и  одобрено финансиране съгласно ПМС № 20 от 2023 г. във връзка с подготовката и произвеждането на избори за народни представители на 2 април 2023 г.</w:t>
      </w:r>
      <w:r w:rsidRPr="00B10768">
        <w:rPr>
          <w:szCs w:val="20"/>
        </w:rPr>
        <w:t xml:space="preserve"> За периода са отчетени 38,2 млн. лв. текущи разходи и 6,9 млн. лв. капиталови разходи. Средствата са усвоени за реализирането на основните цели и дейности на БНТ по подготовката, създаването и разпространението на телевизионни програми съгласно разпоредбите на Закона за радиото и телевизията. През отчетния период са финансирани разходи за сметка на преходен остатък от 2022 г.</w:t>
      </w:r>
    </w:p>
    <w:p w14:paraId="26242728" w14:textId="77777777" w:rsidR="00241466" w:rsidRPr="0055349C" w:rsidRDefault="00241466" w:rsidP="00241466">
      <w:pPr>
        <w:pStyle w:val="Title"/>
        <w:ind w:firstLine="567"/>
        <w:jc w:val="both"/>
        <w:rPr>
          <w:b w:val="0"/>
          <w:color w:val="0070C0"/>
        </w:rPr>
      </w:pPr>
      <w:r w:rsidRPr="00674E09">
        <w:rPr>
          <w:b w:val="0"/>
        </w:rPr>
        <w:t xml:space="preserve">Към 30.06.2023 г. е отчетен </w:t>
      </w:r>
      <w:r w:rsidRPr="00674E09">
        <w:t>трансфер от централния бюджет</w:t>
      </w:r>
      <w:r w:rsidRPr="00674E09">
        <w:rPr>
          <w:b w:val="0"/>
        </w:rPr>
        <w:t xml:space="preserve"> в размер на 39,1 млн. лв., в т.ч. 1,1 млн. лв. одобрено финансиране съгласно ПМС №20 от 2023 г. и 6,4 млн. лв. трансфери за поети осигурителни вноски и данъци. </w:t>
      </w:r>
      <w:r w:rsidRPr="008E3089">
        <w:rPr>
          <w:b w:val="0"/>
        </w:rPr>
        <w:t>Отчетеният за периода трансфер от централния бюджет е с 0,8 млн. лв. по-малко от отчетения трансфер за същия период на предходната година</w:t>
      </w:r>
      <w:r>
        <w:rPr>
          <w:b w:val="0"/>
        </w:rPr>
        <w:t xml:space="preserve">, </w:t>
      </w:r>
      <w:r w:rsidRPr="00674E09">
        <w:rPr>
          <w:b w:val="0"/>
        </w:rPr>
        <w:t>поради неусвоени суми и наличности по левовата сметка в БНБ през първото полугодие на 2022 г.</w:t>
      </w:r>
      <w:r w:rsidRPr="008E3089">
        <w:rPr>
          <w:b w:val="0"/>
        </w:rPr>
        <w:t xml:space="preserve"> </w:t>
      </w:r>
    </w:p>
    <w:p w14:paraId="53FEE985" w14:textId="77777777" w:rsidR="00241466" w:rsidRPr="00D8631D" w:rsidRDefault="00241466" w:rsidP="00241466">
      <w:pPr>
        <w:pStyle w:val="Title"/>
        <w:spacing w:before="120"/>
        <w:ind w:firstLine="567"/>
        <w:jc w:val="both"/>
      </w:pPr>
      <w:r w:rsidRPr="00D8631D">
        <w:t xml:space="preserve">Приходите по бюджета на Българското национално радио (БНР) </w:t>
      </w:r>
      <w:r w:rsidRPr="00D8631D">
        <w:rPr>
          <w:b w:val="0"/>
        </w:rPr>
        <w:t>към 30.06.2023 г. са в размер на 0,9 млн. лв. и са с 0,4 млн. лв. повече спрямо отчетените приходи за първото полугодие на предходната година. Отчетените приходи са постъпления от продажба на услуги, стоки и продукция (реклама, спонсорство, технически услуги, съвместни продукции, приходи от концертна дейност), наеми на имущество, глоби, санкции и наказателни лихви,  помощи и дарения от страната.</w:t>
      </w:r>
    </w:p>
    <w:p w14:paraId="755171CC" w14:textId="77777777" w:rsidR="00241466" w:rsidRPr="00936DD2" w:rsidRDefault="00241466" w:rsidP="00241466">
      <w:pPr>
        <w:ind w:firstLine="567"/>
        <w:jc w:val="both"/>
        <w:rPr>
          <w:szCs w:val="20"/>
        </w:rPr>
      </w:pPr>
      <w:r w:rsidRPr="00086432">
        <w:rPr>
          <w:szCs w:val="20"/>
        </w:rPr>
        <w:t xml:space="preserve">Изпълнението на </w:t>
      </w:r>
      <w:r w:rsidRPr="00086432">
        <w:rPr>
          <w:b/>
          <w:szCs w:val="20"/>
        </w:rPr>
        <w:t>разходите</w:t>
      </w:r>
      <w:r w:rsidRPr="00086432">
        <w:rPr>
          <w:szCs w:val="20"/>
        </w:rPr>
        <w:t xml:space="preserve"> </w:t>
      </w:r>
      <w:r w:rsidRPr="00086432">
        <w:rPr>
          <w:b/>
          <w:szCs w:val="20"/>
        </w:rPr>
        <w:t>по бюджета на</w:t>
      </w:r>
      <w:r w:rsidRPr="00086432">
        <w:rPr>
          <w:szCs w:val="20"/>
        </w:rPr>
        <w:t xml:space="preserve"> </w:t>
      </w:r>
      <w:r w:rsidRPr="00086432">
        <w:rPr>
          <w:b/>
          <w:szCs w:val="20"/>
        </w:rPr>
        <w:t xml:space="preserve">БНР </w:t>
      </w:r>
      <w:r w:rsidRPr="00086432">
        <w:rPr>
          <w:szCs w:val="20"/>
        </w:rPr>
        <w:t xml:space="preserve">възлиза на 28,5 млн. лв. като надвишава отчетените за същия период на предходната година разходи с 2,8 млн. лв. По-високите разходи са резултат от увеличението на заплатите на служителите на БНР, на възнагражденията на генералния директор и Управителния съвет на БНР, на минималната работна заплата и одобрено финансиране съгласно ПМС № 20 от 2023 г. във връзка с подготовката и произвеждането на избори за народни представители на 2 април 2023 г.  </w:t>
      </w:r>
      <w:r w:rsidRPr="009572B1">
        <w:rPr>
          <w:szCs w:val="20"/>
        </w:rPr>
        <w:t xml:space="preserve">За периода са отчетени 26,3 млн. лв. текущи разходи и 2,3 млн. лв. капиталови разходи.  Средствата  са  усвоени  за реализирането на основните цели и дейности на БНР по подготовката, създаването и </w:t>
      </w:r>
      <w:r w:rsidRPr="00936DD2">
        <w:rPr>
          <w:szCs w:val="20"/>
        </w:rPr>
        <w:t xml:space="preserve">разпространението на национални и регионални програми съгласно разпоредбите на Закона за радиото и телевизията. През отчетния период са финансирани разходи за сметка на преходен остатък от 2022 г. </w:t>
      </w:r>
    </w:p>
    <w:p w14:paraId="5087A12F" w14:textId="77777777" w:rsidR="00241466" w:rsidRPr="0055349C" w:rsidRDefault="00241466" w:rsidP="00241466">
      <w:pPr>
        <w:ind w:firstLine="567"/>
        <w:jc w:val="both"/>
        <w:rPr>
          <w:color w:val="0070C0"/>
          <w:szCs w:val="20"/>
        </w:rPr>
      </w:pPr>
      <w:r w:rsidRPr="00936DD2">
        <w:t xml:space="preserve">За периода е отчетен </w:t>
      </w:r>
      <w:r w:rsidRPr="00936DD2">
        <w:rPr>
          <w:b/>
        </w:rPr>
        <w:t>трансфер от централния бюджет</w:t>
      </w:r>
      <w:r w:rsidRPr="00936DD2">
        <w:t xml:space="preserve"> в размер на 25,2 млн. лв., в т.ч. 0,8 млн. лв. одобрено финансиране съгласно ПМС № 20 от 2023 г. и 5,6 млн. лв.  трансфери за поети осигурителни вноски и данъци. </w:t>
      </w:r>
      <w:r w:rsidRPr="008E3089">
        <w:t xml:space="preserve">Отчетеният за периода трансфер от централния бюджет е с 2,3 млн. лв. по-малко от отчетения трансфер за същия период на </w:t>
      </w:r>
      <w:r w:rsidRPr="00936DD2">
        <w:t>предходната година, поради неусвоени суми и наличности по левовата сметка в БНБ през първото полугодие на 2022 г.</w:t>
      </w:r>
    </w:p>
    <w:p w14:paraId="7E3F6E7F" w14:textId="32F95150" w:rsidR="00241466" w:rsidRPr="0055349C" w:rsidRDefault="00241466" w:rsidP="00241466">
      <w:pPr>
        <w:spacing w:before="120"/>
        <w:ind w:firstLine="567"/>
        <w:jc w:val="both"/>
        <w:rPr>
          <w:b/>
          <w:color w:val="0070C0"/>
          <w:szCs w:val="20"/>
        </w:rPr>
      </w:pPr>
      <w:r w:rsidRPr="001E1A0F">
        <w:rPr>
          <w:b/>
          <w:szCs w:val="20"/>
        </w:rPr>
        <w:t xml:space="preserve">Приходите на </w:t>
      </w:r>
      <w:r w:rsidRPr="001E1A0F">
        <w:rPr>
          <w:b/>
        </w:rPr>
        <w:t>Българската телеграфна агенция (БТА)</w:t>
      </w:r>
      <w:r w:rsidRPr="001E1A0F">
        <w:t xml:space="preserve"> </w:t>
      </w:r>
      <w:r w:rsidRPr="001E1A0F">
        <w:rPr>
          <w:szCs w:val="20"/>
        </w:rPr>
        <w:t>към 30.06.202</w:t>
      </w:r>
      <w:r w:rsidR="00231363">
        <w:rPr>
          <w:szCs w:val="20"/>
        </w:rPr>
        <w:t>3</w:t>
      </w:r>
      <w:r w:rsidRPr="001E1A0F">
        <w:rPr>
          <w:szCs w:val="20"/>
        </w:rPr>
        <w:t xml:space="preserve"> г. са в размер на 0,5 млн. лв</w:t>
      </w:r>
      <w:r w:rsidRPr="001E1A0F">
        <w:t>. и са основно от продажба на услуги, стоки и продукция. Приходите са с 0,1 млн. лв. повече от реализираните през същия период на миналата година.</w:t>
      </w:r>
      <w:r w:rsidRPr="001E1A0F">
        <w:rPr>
          <w:szCs w:val="20"/>
        </w:rPr>
        <w:t xml:space="preserve"> </w:t>
      </w:r>
    </w:p>
    <w:p w14:paraId="627F09F3" w14:textId="77777777" w:rsidR="00241466" w:rsidRPr="00B707DD" w:rsidRDefault="00241466" w:rsidP="00241466">
      <w:pPr>
        <w:ind w:firstLine="567"/>
        <w:jc w:val="both"/>
        <w:rPr>
          <w:szCs w:val="20"/>
        </w:rPr>
      </w:pPr>
      <w:r w:rsidRPr="001E1A0F">
        <w:rPr>
          <w:szCs w:val="20"/>
        </w:rPr>
        <w:t>Отчетените</w:t>
      </w:r>
      <w:r w:rsidRPr="001E1A0F">
        <w:rPr>
          <w:b/>
          <w:szCs w:val="20"/>
        </w:rPr>
        <w:t xml:space="preserve"> разходи на БТА</w:t>
      </w:r>
      <w:r w:rsidRPr="001E1A0F">
        <w:rPr>
          <w:szCs w:val="20"/>
        </w:rPr>
        <w:t xml:space="preserve"> за периода са 5,8 млн. лв. и са свързани с дейността </w:t>
      </w:r>
      <w:r w:rsidRPr="00B707DD">
        <w:rPr>
          <w:szCs w:val="20"/>
        </w:rPr>
        <w:t>на агенцията, като основен дял имат разходите за персонал и разходите за издръжка. Разходите са нараснали с 27,5 % в сравнение със същия период на предходната година.</w:t>
      </w:r>
    </w:p>
    <w:p w14:paraId="3EADAD62" w14:textId="77777777" w:rsidR="00241466" w:rsidRPr="00B707DD" w:rsidRDefault="00241466" w:rsidP="00241466">
      <w:pPr>
        <w:ind w:firstLine="567"/>
        <w:jc w:val="both"/>
        <w:rPr>
          <w:szCs w:val="20"/>
        </w:rPr>
      </w:pPr>
      <w:r w:rsidRPr="00B707DD">
        <w:rPr>
          <w:szCs w:val="20"/>
        </w:rPr>
        <w:t xml:space="preserve">За периода е отчетен </w:t>
      </w:r>
      <w:r w:rsidRPr="00B707DD">
        <w:rPr>
          <w:b/>
          <w:szCs w:val="20"/>
        </w:rPr>
        <w:t>трансфер от централния бюджет</w:t>
      </w:r>
      <w:r w:rsidRPr="00B707DD">
        <w:rPr>
          <w:szCs w:val="20"/>
        </w:rPr>
        <w:t xml:space="preserve"> в размер на 4,5 млн. лева.</w:t>
      </w:r>
    </w:p>
    <w:p w14:paraId="63A45335" w14:textId="77777777" w:rsidR="007C1025" w:rsidRPr="0055349C" w:rsidRDefault="007C1025" w:rsidP="007C1025">
      <w:pPr>
        <w:ind w:firstLine="567"/>
        <w:jc w:val="both"/>
        <w:rPr>
          <w:color w:val="0070C0"/>
          <w:szCs w:val="20"/>
        </w:rPr>
      </w:pPr>
    </w:p>
    <w:p w14:paraId="6B622233" w14:textId="77777777" w:rsidR="00446778" w:rsidRPr="0055349C" w:rsidRDefault="00446778" w:rsidP="007C1025">
      <w:pPr>
        <w:pStyle w:val="Title"/>
        <w:jc w:val="both"/>
        <w:rPr>
          <w:color w:val="0070C0"/>
        </w:rPr>
      </w:pPr>
    </w:p>
    <w:p w14:paraId="2EC6E6FB" w14:textId="77777777" w:rsidR="00446778" w:rsidRPr="0055349C" w:rsidRDefault="00446778" w:rsidP="007C1025">
      <w:pPr>
        <w:pStyle w:val="Title"/>
        <w:jc w:val="both"/>
        <w:rPr>
          <w:color w:val="0070C0"/>
        </w:rPr>
      </w:pPr>
    </w:p>
    <w:p w14:paraId="1F97E6C1" w14:textId="77777777" w:rsidR="00001ABF" w:rsidRPr="0055349C" w:rsidRDefault="00001ABF" w:rsidP="007C1025">
      <w:pPr>
        <w:pStyle w:val="Title"/>
        <w:jc w:val="both"/>
        <w:rPr>
          <w:color w:val="0070C0"/>
        </w:rPr>
      </w:pPr>
    </w:p>
    <w:p w14:paraId="217C3D1A" w14:textId="25B908B9" w:rsidR="007C1025" w:rsidRPr="00456918" w:rsidRDefault="007C1025" w:rsidP="007C1025">
      <w:pPr>
        <w:pStyle w:val="Title"/>
        <w:jc w:val="both"/>
      </w:pPr>
      <w:r w:rsidRPr="00456918">
        <w:t xml:space="preserve">Министерство на финансите, </w:t>
      </w:r>
      <w:r w:rsidR="00456918" w:rsidRPr="00456918">
        <w:t xml:space="preserve">август </w:t>
      </w:r>
      <w:r w:rsidRPr="00456918">
        <w:t>202</w:t>
      </w:r>
      <w:r w:rsidR="005E5002" w:rsidRPr="00456918">
        <w:t>3</w:t>
      </w:r>
      <w:r w:rsidRPr="00456918">
        <w:t xml:space="preserve"> г.</w:t>
      </w:r>
    </w:p>
    <w:p w14:paraId="4AAD44C7" w14:textId="20B167DF" w:rsidR="007C73AC" w:rsidRPr="0055349C" w:rsidRDefault="007C73AC" w:rsidP="007C1025">
      <w:pPr>
        <w:pStyle w:val="Title"/>
        <w:jc w:val="both"/>
        <w:rPr>
          <w:color w:val="0070C0"/>
        </w:rPr>
      </w:pPr>
    </w:p>
    <w:p w14:paraId="50EAA3B6" w14:textId="3B0FD55E" w:rsidR="007C73AC" w:rsidRPr="0055349C" w:rsidRDefault="007C73AC" w:rsidP="007C1025">
      <w:pPr>
        <w:pStyle w:val="Title"/>
        <w:jc w:val="both"/>
        <w:rPr>
          <w:color w:val="0070C0"/>
        </w:rPr>
      </w:pPr>
    </w:p>
    <w:p w14:paraId="3B45681A" w14:textId="413556E8" w:rsidR="00001CF0" w:rsidRPr="00001CF0" w:rsidRDefault="00001CF0" w:rsidP="00462DBD">
      <w:pPr>
        <w:tabs>
          <w:tab w:val="left" w:pos="2520"/>
        </w:tabs>
        <w:spacing w:line="480" w:lineRule="auto"/>
        <w:ind w:left="-1134" w:right="-386" w:firstLine="1134"/>
        <w:rPr>
          <w:sz w:val="20"/>
          <w:lang w:eastAsia="bg-BG"/>
        </w:rPr>
      </w:pPr>
    </w:p>
    <w:sectPr w:rsidR="00001CF0" w:rsidRPr="00001CF0" w:rsidSect="00033525">
      <w:footerReference w:type="even" r:id="rId10"/>
      <w:footerReference w:type="default" r:id="rId11"/>
      <w:endnotePr>
        <w:numFmt w:val="decimal"/>
      </w:endnotePr>
      <w:type w:val="continuous"/>
      <w:pgSz w:w="11906" w:h="16838"/>
      <w:pgMar w:top="709" w:right="849" w:bottom="426"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624C1" w14:textId="77777777" w:rsidR="00655915" w:rsidRDefault="00655915">
      <w:r>
        <w:separator/>
      </w:r>
    </w:p>
  </w:endnote>
  <w:endnote w:type="continuationSeparator" w:id="0">
    <w:p w14:paraId="0F967DAB" w14:textId="77777777" w:rsidR="00655915" w:rsidRDefault="00655915">
      <w:r>
        <w:continuationSeparator/>
      </w:r>
    </w:p>
  </w:endnote>
  <w:endnote w:type="continuationNotice" w:id="1">
    <w:p w14:paraId="4545AF10" w14:textId="77777777" w:rsidR="00655915" w:rsidRDefault="00655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Futura Bk">
    <w:altName w:val="Century Gothic"/>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ABECB" w14:textId="77777777" w:rsidR="00655915" w:rsidRDefault="00655915"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F63D0C" w14:textId="77777777" w:rsidR="00655915" w:rsidRDefault="00655915" w:rsidP="00A7411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164DC" w14:textId="3B1EB93E" w:rsidR="00655915" w:rsidRDefault="00655915"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040E">
      <w:rPr>
        <w:rStyle w:val="PageNumber"/>
        <w:noProof/>
      </w:rPr>
      <w:t>19</w:t>
    </w:r>
    <w:r>
      <w:rPr>
        <w:rStyle w:val="PageNumber"/>
      </w:rPr>
      <w:fldChar w:fldCharType="end"/>
    </w:r>
  </w:p>
  <w:p w14:paraId="5CD71E31" w14:textId="77777777" w:rsidR="00655915" w:rsidRDefault="00655915" w:rsidP="00A7411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E4557" w14:textId="77777777" w:rsidR="00655915" w:rsidRDefault="00655915">
      <w:r>
        <w:separator/>
      </w:r>
    </w:p>
  </w:footnote>
  <w:footnote w:type="continuationSeparator" w:id="0">
    <w:p w14:paraId="30E89340" w14:textId="77777777" w:rsidR="00655915" w:rsidRDefault="00655915">
      <w:r>
        <w:continuationSeparator/>
      </w:r>
    </w:p>
  </w:footnote>
  <w:footnote w:type="continuationNotice" w:id="1">
    <w:p w14:paraId="0EB840B0" w14:textId="77777777" w:rsidR="00655915" w:rsidRDefault="00655915"/>
  </w:footnote>
  <w:footnote w:id="2">
    <w:p w14:paraId="4E7AB591" w14:textId="77777777" w:rsidR="00655915" w:rsidRPr="00615E6C" w:rsidRDefault="00655915" w:rsidP="00EC0B35">
      <w:pPr>
        <w:pStyle w:val="FootnoteText"/>
        <w:jc w:val="both"/>
        <w:rPr>
          <w:sz w:val="18"/>
          <w:lang w:val="bg-BG"/>
        </w:rPr>
      </w:pPr>
      <w:r w:rsidRPr="00615E6C">
        <w:rPr>
          <w:rStyle w:val="FootnoteReference"/>
          <w:sz w:val="18"/>
        </w:rPr>
        <w:footnoteRef/>
      </w:r>
      <w:r w:rsidRPr="005217E8">
        <w:rPr>
          <w:sz w:val="18"/>
          <w:lang w:val="ru-RU"/>
        </w:rPr>
        <w:t xml:space="preserve"> </w:t>
      </w:r>
      <w:r w:rsidRPr="00615E6C">
        <w:rPr>
          <w:rFonts w:eastAsia="Calibri"/>
          <w:sz w:val="18"/>
          <w:lang w:val="bg-BG"/>
        </w:rPr>
        <w:t xml:space="preserve">При съпоставката със същия период на предходната година следва да се отчете базов ефект при приходите от други данъци от постъпващи от началото на 2023 г. </w:t>
      </w:r>
      <w:r w:rsidRPr="00615E6C">
        <w:rPr>
          <w:sz w:val="18"/>
          <w:lang w:val="bg-BG"/>
        </w:rPr>
        <w:t xml:space="preserve">целеви вноски във Фонд "Сигурност на електроенергийната система" от производителите и търговците на електрическа енергия, в изпълнение на § 8 от ПЗР на Закона за прилагане на разпоредби на ЗДБРБ за 2022 г., ЗБДОО за </w:t>
      </w:r>
      <w:r w:rsidRPr="00615E6C">
        <w:rPr>
          <w:rFonts w:eastAsia="Calibri"/>
          <w:sz w:val="18"/>
          <w:lang w:val="bg-BG"/>
        </w:rPr>
        <w:t>2022 г. и ЗБНЗОК за 2022 г., както и при приходите от задължителна временна солидарна вноска за генерираните свръхпечалби съгласно член 14 от Регламент (ЕС) 2022/1854 на Съвета от 6 октомври 2022 г. относно спешна намеса за справяне с високите цени на енергията (Регламент (ЕС) 2022/1854), които започнаха да постъпват от декември 2022 г.</w:t>
      </w:r>
    </w:p>
    <w:p w14:paraId="71657370" w14:textId="1A730445" w:rsidR="00655915" w:rsidRPr="00EC0B35" w:rsidRDefault="00655915">
      <w:pPr>
        <w:pStyle w:val="FootnoteText"/>
        <w:rPr>
          <w:lang w:val="bg-BG"/>
        </w:rPr>
      </w:pPr>
    </w:p>
  </w:footnote>
  <w:footnote w:id="3">
    <w:p w14:paraId="327EABEE" w14:textId="77777777" w:rsidR="00655915" w:rsidRPr="007D18FE" w:rsidRDefault="00655915" w:rsidP="00E74802">
      <w:pPr>
        <w:pStyle w:val="FootnoteText"/>
        <w:jc w:val="both"/>
        <w:rPr>
          <w:sz w:val="18"/>
          <w:szCs w:val="18"/>
          <w:lang w:val="bg-BG"/>
        </w:rPr>
      </w:pPr>
      <w:r w:rsidRPr="007D18FE">
        <w:rPr>
          <w:rStyle w:val="FootnoteReference"/>
          <w:sz w:val="18"/>
          <w:szCs w:val="18"/>
        </w:rPr>
        <w:footnoteRef/>
      </w:r>
      <w:r w:rsidRPr="001953AC">
        <w:rPr>
          <w:sz w:val="18"/>
          <w:szCs w:val="18"/>
          <w:lang w:val="ru-RU"/>
        </w:rPr>
        <w:t xml:space="preserve"> </w:t>
      </w:r>
      <w:r w:rsidRPr="007D18FE">
        <w:rPr>
          <w:sz w:val="18"/>
          <w:szCs w:val="18"/>
          <w:lang w:val="bg-BG"/>
        </w:rPr>
        <w:t>Обхваща държавния бюджет и бюджетите на общините, социалноосигурителните фондове, ДВУ, БАН, БНР, БНТ, БТА, бюджетите по чл.14, ал.4 от ЗПФ, както и сметките за средствата от ЕС и сметките за чужди средства на бюджетните организации. Данните за текущата година са на база месечни отчети, а тези за предходната година - на база тримесечни отчети на ПРБ.</w:t>
      </w:r>
    </w:p>
  </w:footnote>
  <w:footnote w:id="4">
    <w:p w14:paraId="1536DEE6" w14:textId="77777777" w:rsidR="00655915" w:rsidRPr="007D18FE" w:rsidRDefault="00655915" w:rsidP="0010424C">
      <w:pPr>
        <w:pStyle w:val="FootnoteText"/>
        <w:jc w:val="both"/>
        <w:rPr>
          <w:sz w:val="18"/>
          <w:szCs w:val="18"/>
          <w:lang w:val="bg-BG"/>
        </w:rPr>
      </w:pPr>
      <w:r w:rsidRPr="007D18FE">
        <w:rPr>
          <w:rStyle w:val="FootnoteReference"/>
          <w:sz w:val="18"/>
          <w:szCs w:val="18"/>
        </w:rPr>
        <w:footnoteRef/>
      </w:r>
      <w:r w:rsidRPr="007D18FE">
        <w:rPr>
          <w:sz w:val="18"/>
          <w:szCs w:val="18"/>
          <w:lang w:val="bg-BG"/>
        </w:rPr>
        <w:t xml:space="preserve"> Поради извършено закръгление в млн. лв., някои сумарни позиции в Таблица №1, Таблица  №2 и в текста не се изчерпват от съставните им числа.</w:t>
      </w:r>
    </w:p>
  </w:footnote>
  <w:footnote w:id="5">
    <w:p w14:paraId="5BF6611F" w14:textId="77777777" w:rsidR="00655915" w:rsidRPr="000C019B" w:rsidRDefault="00655915" w:rsidP="00F67329">
      <w:pPr>
        <w:pStyle w:val="FootnoteText"/>
        <w:jc w:val="both"/>
        <w:rPr>
          <w:lang w:val="bg-BG"/>
        </w:rPr>
      </w:pPr>
      <w:r w:rsidRPr="00F461DC">
        <w:rPr>
          <w:rStyle w:val="FootnoteReference"/>
          <w:sz w:val="18"/>
        </w:rPr>
        <w:footnoteRef/>
      </w:r>
      <w:r w:rsidRPr="00B019A1">
        <w:rPr>
          <w:sz w:val="18"/>
          <w:lang w:val="ru-RU"/>
        </w:rPr>
        <w:t xml:space="preserve"> </w:t>
      </w:r>
      <w:r w:rsidRPr="000C019B">
        <w:rPr>
          <w:rFonts w:eastAsia="Calibri"/>
          <w:sz w:val="18"/>
          <w:lang w:val="bg-BG"/>
        </w:rPr>
        <w:t>При съпоставката със същия период на предходната година следва да се отчете базов ефект при приходите от други данъци от постъпващи от началото на 2023 г. целеви вноски във Фонд "Сигурност на електроенергийната система" от производителите и търговците на електрическа енергия, в изпълнение на § 8 от ПЗР на Закона за прилагане на разпоредби на ЗДБРБ за 2022 г., ЗБДОО за 2022 г. и ЗБНЗОК за 2022 г., както и при приходите от задължителна временна солидарна вноска за генерираните свръхпечалби съгласно чл. 14 от Регламент (ЕС) 2022/1854 на Съвета от 6 октомври 2022 г. относно спешна намеса за справяне с високите цени на енергията (Регламент (ЕС) 2022/1854), които започнаха да постъпват от декември 2022 г</w:t>
      </w:r>
      <w:r w:rsidRPr="000C019B">
        <w:rPr>
          <w:sz w:val="18"/>
          <w:lang w:val="bg-BG"/>
        </w:rPr>
        <w:t>.</w:t>
      </w:r>
    </w:p>
  </w:footnote>
  <w:footnote w:id="6">
    <w:p w14:paraId="7511D5BF" w14:textId="77777777" w:rsidR="00655915" w:rsidRPr="00E74802" w:rsidRDefault="00655915" w:rsidP="0010424C">
      <w:pPr>
        <w:pStyle w:val="FootnoteText"/>
        <w:jc w:val="both"/>
        <w:rPr>
          <w:sz w:val="18"/>
          <w:szCs w:val="18"/>
          <w:lang w:val="bg-BG"/>
        </w:rPr>
      </w:pPr>
      <w:r w:rsidRPr="00E74802">
        <w:rPr>
          <w:rStyle w:val="FootnoteReference"/>
          <w:sz w:val="18"/>
          <w:szCs w:val="18"/>
          <w:lang w:val="bg-BG"/>
        </w:rPr>
        <w:footnoteRef/>
      </w:r>
      <w:r w:rsidRPr="00E74802">
        <w:rPr>
          <w:sz w:val="18"/>
          <w:szCs w:val="18"/>
          <w:lang w:val="bg-BG"/>
        </w:rPr>
        <w:t xml:space="preserve"> </w:t>
      </w:r>
      <w:r w:rsidRPr="004D0661">
        <w:rPr>
          <w:sz w:val="18"/>
          <w:szCs w:val="18"/>
          <w:lang w:val="bg-BG"/>
        </w:rPr>
        <w:t>Обхватът на показателя фискален резерв е в съответствие с §1, т. 41 от Допълнителните разпоредби на Закона за публичните финанси.</w:t>
      </w:r>
    </w:p>
  </w:footnote>
  <w:footnote w:id="7">
    <w:p w14:paraId="4A975709" w14:textId="77777777" w:rsidR="00655915" w:rsidRPr="00DF79A3" w:rsidRDefault="00655915" w:rsidP="00222173">
      <w:pPr>
        <w:pStyle w:val="FootnoteText"/>
        <w:rPr>
          <w:lang w:val="bg-BG"/>
        </w:rPr>
      </w:pPr>
      <w:r w:rsidRPr="00F97BCC">
        <w:rPr>
          <w:rStyle w:val="FootnoteReference"/>
          <w:lang w:val="bg-BG"/>
        </w:rPr>
        <w:footnoteRef/>
      </w:r>
      <w:r w:rsidRPr="00F97BCC">
        <w:rPr>
          <w:lang w:val="bg-BG"/>
        </w:rPr>
        <w:t xml:space="preserve"> </w:t>
      </w:r>
      <w:r w:rsidRPr="00185D08">
        <w:rPr>
          <w:sz w:val="18"/>
          <w:szCs w:val="16"/>
          <w:lang w:val="bg-BG"/>
        </w:rPr>
        <w:t>Държавният бюджет включва централен бюджет, бюджетите на НС, съдебната власт, министерствата и ведомствата.</w:t>
      </w:r>
    </w:p>
  </w:footnote>
  <w:footnote w:id="8">
    <w:p w14:paraId="1F46985D" w14:textId="77777777" w:rsidR="00655915" w:rsidRPr="00B019A1" w:rsidRDefault="00655915" w:rsidP="000B0BED">
      <w:pPr>
        <w:pStyle w:val="FootnoteText"/>
        <w:jc w:val="both"/>
        <w:rPr>
          <w:sz w:val="18"/>
          <w:szCs w:val="18"/>
          <w:lang w:val="ru-RU"/>
        </w:rPr>
      </w:pPr>
      <w:r w:rsidRPr="00EB7087">
        <w:rPr>
          <w:rStyle w:val="FootnoteReference"/>
        </w:rPr>
        <w:footnoteRef/>
      </w:r>
      <w:r w:rsidRPr="00B019A1">
        <w:rPr>
          <w:sz w:val="18"/>
          <w:szCs w:val="18"/>
          <w:lang w:val="ru-RU"/>
        </w:rPr>
        <w:t xml:space="preserve"> Поради извършено закръгление в млн. лв., някои сумарни позиции в Таблица № 1 и в текста не се изчерпват от съставните им числа.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0E0"/>
    <w:multiLevelType w:val="hybridMultilevel"/>
    <w:tmpl w:val="94142DF6"/>
    <w:lvl w:ilvl="0" w:tplc="CA968970">
      <w:start w:val="43"/>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 w15:restartNumberingAfterBreak="0">
    <w:nsid w:val="02A64D70"/>
    <w:multiLevelType w:val="hybridMultilevel"/>
    <w:tmpl w:val="F85C9BE4"/>
    <w:lvl w:ilvl="0" w:tplc="982A2DA2">
      <w:numFmt w:val="bullet"/>
      <w:lvlText w:val="-"/>
      <w:lvlJc w:val="left"/>
      <w:pPr>
        <w:ind w:left="420" w:hanging="360"/>
      </w:pPr>
      <w:rPr>
        <w:rFonts w:ascii="Times New Roman" w:eastAsiaTheme="minorHAns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2" w15:restartNumberingAfterBreak="0">
    <w:nsid w:val="03127CD0"/>
    <w:multiLevelType w:val="hybridMultilevel"/>
    <w:tmpl w:val="1338A1D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B2125B4"/>
    <w:multiLevelType w:val="multilevel"/>
    <w:tmpl w:val="7D5224AA"/>
    <w:lvl w:ilvl="0">
      <w:numFmt w:val="bullet"/>
      <w:lvlText w:val="-"/>
      <w:lvlJc w:val="left"/>
      <w:pPr>
        <w:ind w:left="-32767" w:hanging="32486"/>
      </w:pPr>
      <w:rPr>
        <w:rFonts w:ascii="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4" w15:restartNumberingAfterBreak="0">
    <w:nsid w:val="14105CA9"/>
    <w:multiLevelType w:val="hybridMultilevel"/>
    <w:tmpl w:val="2D5A56EE"/>
    <w:lvl w:ilvl="0" w:tplc="88C42E5E">
      <w:start w:val="1"/>
      <w:numFmt w:val="decimal"/>
      <w:pStyle w:val="ParagraphNumbering"/>
      <w:lvlText w:val="%1.     "/>
      <w:lvlJc w:val="left"/>
      <w:pPr>
        <w:tabs>
          <w:tab w:val="num" w:pos="1260"/>
        </w:tabs>
        <w:ind w:left="540" w:firstLine="0"/>
      </w:pPr>
      <w:rPr>
        <w:rFonts w:hint="default"/>
        <w:b/>
      </w:rPr>
    </w:lvl>
    <w:lvl w:ilvl="1" w:tplc="F6E687FE">
      <w:start w:val="1"/>
      <w:numFmt w:val="upperRoman"/>
      <w:lvlText w:val="%2."/>
      <w:lvlJc w:val="right"/>
      <w:pPr>
        <w:tabs>
          <w:tab w:val="num" w:pos="1260"/>
        </w:tabs>
        <w:ind w:left="1260" w:hanging="18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b/>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C372835"/>
    <w:multiLevelType w:val="multilevel"/>
    <w:tmpl w:val="7B586E5A"/>
    <w:lvl w:ilvl="0">
      <w:start w:val="1"/>
      <w:numFmt w:val="bullet"/>
      <w:lvlText w:val=""/>
      <w:lvlJc w:val="left"/>
      <w:pPr>
        <w:tabs>
          <w:tab w:val="num" w:pos="532"/>
        </w:tabs>
        <w:ind w:left="532" w:hanging="390"/>
      </w:pPr>
      <w:rPr>
        <w:rFonts w:ascii="Wingdings" w:hAnsi="Wingding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6" w15:restartNumberingAfterBreak="0">
    <w:nsid w:val="20EE040C"/>
    <w:multiLevelType w:val="hybridMultilevel"/>
    <w:tmpl w:val="DF5C7CEA"/>
    <w:lvl w:ilvl="0" w:tplc="04020005">
      <w:start w:val="1"/>
      <w:numFmt w:val="bullet"/>
      <w:lvlText w:val=""/>
      <w:lvlJc w:val="left"/>
      <w:pPr>
        <w:tabs>
          <w:tab w:val="num" w:pos="360"/>
        </w:tabs>
        <w:ind w:left="360" w:hanging="360"/>
      </w:pPr>
      <w:rPr>
        <w:rFonts w:ascii="Wingdings" w:hAnsi="Wingdings" w:hint="default"/>
        <w:color w:val="auto"/>
        <w:sz w:val="28"/>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8D6CFF"/>
    <w:multiLevelType w:val="hybridMultilevel"/>
    <w:tmpl w:val="8E9EC7B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8B1941"/>
    <w:multiLevelType w:val="hybridMultilevel"/>
    <w:tmpl w:val="269A2F3C"/>
    <w:lvl w:ilvl="0" w:tplc="1AC8DDA4">
      <w:start w:val="1"/>
      <w:numFmt w:val="bullet"/>
      <w:lvlText w:val=""/>
      <w:lvlJc w:val="left"/>
      <w:pPr>
        <w:tabs>
          <w:tab w:val="num" w:pos="1440"/>
        </w:tabs>
        <w:ind w:left="740" w:firstLine="340"/>
      </w:pPr>
      <w:rPr>
        <w:rFonts w:ascii="Wingdings" w:hAnsi="Wingdings" w:hint="default"/>
        <w:sz w:val="24"/>
        <w:szCs w:val="24"/>
      </w:rPr>
    </w:lvl>
    <w:lvl w:ilvl="1" w:tplc="B8089F6A">
      <w:start w:val="1"/>
      <w:numFmt w:val="bullet"/>
      <w:lvlText w:val=""/>
      <w:lvlJc w:val="left"/>
      <w:pPr>
        <w:tabs>
          <w:tab w:val="num" w:pos="1437"/>
        </w:tabs>
        <w:ind w:left="1437" w:hanging="357"/>
      </w:pPr>
      <w:rPr>
        <w:rFonts w:ascii="Wingdings" w:hAnsi="Wingdings" w:hint="default"/>
        <w:color w:val="auto"/>
        <w:sz w:val="28"/>
        <w:szCs w:val="24"/>
        <w:u w:color="FFFFFF"/>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236CB"/>
    <w:multiLevelType w:val="hybridMultilevel"/>
    <w:tmpl w:val="9C5CF38C"/>
    <w:lvl w:ilvl="0" w:tplc="EF3EE33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CB4556"/>
    <w:multiLevelType w:val="hybridMultilevel"/>
    <w:tmpl w:val="4CFCC9E0"/>
    <w:lvl w:ilvl="0" w:tplc="04020003">
      <w:start w:val="1"/>
      <w:numFmt w:val="bullet"/>
      <w:lvlText w:val="o"/>
      <w:lvlJc w:val="left"/>
      <w:pPr>
        <w:tabs>
          <w:tab w:val="num" w:pos="1346"/>
        </w:tabs>
        <w:ind w:left="984" w:firstLine="96"/>
      </w:pPr>
      <w:rPr>
        <w:rFonts w:ascii="Courier New" w:hAnsi="Courier New" w:cs="Courier New"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11" w15:restartNumberingAfterBreak="0">
    <w:nsid w:val="40506C4C"/>
    <w:multiLevelType w:val="hybridMultilevel"/>
    <w:tmpl w:val="8E46A080"/>
    <w:lvl w:ilvl="0" w:tplc="0402000B">
      <w:start w:val="1"/>
      <w:numFmt w:val="bullet"/>
      <w:lvlText w:val=""/>
      <w:lvlJc w:val="left"/>
      <w:pPr>
        <w:tabs>
          <w:tab w:val="num" w:pos="928"/>
        </w:tabs>
        <w:ind w:left="928" w:hanging="360"/>
      </w:pPr>
      <w:rPr>
        <w:rFonts w:ascii="Wingdings" w:hAnsi="Wingdings" w:hint="default"/>
      </w:rPr>
    </w:lvl>
    <w:lvl w:ilvl="1" w:tplc="0402000F">
      <w:start w:val="1"/>
      <w:numFmt w:val="decimal"/>
      <w:lvlText w:val="%2."/>
      <w:lvlJc w:val="left"/>
      <w:pPr>
        <w:tabs>
          <w:tab w:val="num" w:pos="1440"/>
        </w:tabs>
        <w:ind w:left="1440" w:hanging="360"/>
      </w:pPr>
      <w:rPr>
        <w:rFont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843DC3"/>
    <w:multiLevelType w:val="hybridMultilevel"/>
    <w:tmpl w:val="59487C1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89254F4"/>
    <w:multiLevelType w:val="hybridMultilevel"/>
    <w:tmpl w:val="A78E9870"/>
    <w:lvl w:ilvl="0" w:tplc="0409000B">
      <w:start w:val="1"/>
      <w:numFmt w:val="bullet"/>
      <w:lvlText w:val=""/>
      <w:lvlJc w:val="left"/>
      <w:pPr>
        <w:tabs>
          <w:tab w:val="num" w:pos="360"/>
        </w:tabs>
        <w:ind w:left="360" w:hanging="360"/>
      </w:pPr>
      <w:rPr>
        <w:rFonts w:ascii="Wingdings" w:hAnsi="Wingdings" w:hint="default"/>
      </w:rPr>
    </w:lvl>
    <w:lvl w:ilvl="1" w:tplc="8DDE1D3E">
      <w:start w:val="1"/>
      <w:numFmt w:val="bullet"/>
      <w:lvlText w:val=""/>
      <w:lvlJc w:val="left"/>
      <w:pPr>
        <w:tabs>
          <w:tab w:val="num" w:pos="1383"/>
        </w:tabs>
        <w:ind w:left="683" w:firstLine="340"/>
      </w:pPr>
      <w:rPr>
        <w:rFonts w:ascii="Wingdings" w:hAnsi="Wingdings"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4" w15:restartNumberingAfterBreak="0">
    <w:nsid w:val="491C773E"/>
    <w:multiLevelType w:val="hybridMultilevel"/>
    <w:tmpl w:val="95184B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A5F564A"/>
    <w:multiLevelType w:val="hybridMultilevel"/>
    <w:tmpl w:val="19C03E34"/>
    <w:lvl w:ilvl="0" w:tplc="B8089F6A">
      <w:start w:val="1"/>
      <w:numFmt w:val="bullet"/>
      <w:lvlText w:val=""/>
      <w:lvlJc w:val="left"/>
      <w:pPr>
        <w:tabs>
          <w:tab w:val="num" w:pos="6878"/>
        </w:tabs>
        <w:ind w:left="6878" w:hanging="357"/>
      </w:pPr>
      <w:rPr>
        <w:rFonts w:ascii="Wingdings" w:hAnsi="Wingdings" w:hint="default"/>
        <w:color w:val="auto"/>
        <w:sz w:val="28"/>
        <w:u w:color="FFFFF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1C3D5E"/>
    <w:multiLevelType w:val="hybridMultilevel"/>
    <w:tmpl w:val="05085AC2"/>
    <w:lvl w:ilvl="0" w:tplc="EDA44120">
      <w:start w:val="1"/>
      <w:numFmt w:val="bullet"/>
      <w:lvlText w:val="-"/>
      <w:lvlJc w:val="left"/>
      <w:pPr>
        <w:tabs>
          <w:tab w:val="num" w:pos="700"/>
        </w:tabs>
        <w:ind w:left="700" w:hanging="360"/>
      </w:pPr>
      <w:rPr>
        <w:rFonts w:ascii="Mangal" w:hAnsi="Manga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EB1EBB"/>
    <w:multiLevelType w:val="hybridMultilevel"/>
    <w:tmpl w:val="A7840AB6"/>
    <w:lvl w:ilvl="0" w:tplc="531CAAA0">
      <w:start w:val="1"/>
      <w:numFmt w:val="bullet"/>
      <w:lvlText w:val=""/>
      <w:lvlJc w:val="left"/>
      <w:pPr>
        <w:tabs>
          <w:tab w:val="num" w:pos="540"/>
        </w:tabs>
        <w:ind w:left="540" w:hanging="360"/>
      </w:pPr>
      <w:rPr>
        <w:rFonts w:ascii="Wingdings" w:hAnsi="Wingdings" w:hint="default"/>
        <w:color w:val="auto"/>
      </w:rPr>
    </w:lvl>
    <w:lvl w:ilvl="1" w:tplc="60389F10">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0D78F0"/>
    <w:multiLevelType w:val="hybridMultilevel"/>
    <w:tmpl w:val="33664FCA"/>
    <w:lvl w:ilvl="0" w:tplc="5AC6C2E0">
      <w:start w:val="1"/>
      <w:numFmt w:val="bullet"/>
      <w:lvlText w:val=""/>
      <w:lvlJc w:val="left"/>
      <w:pPr>
        <w:tabs>
          <w:tab w:val="num" w:pos="1346"/>
        </w:tabs>
        <w:ind w:left="984" w:firstLine="96"/>
      </w:pPr>
      <w:rPr>
        <w:rFonts w:ascii="Symbol" w:hAnsi="Symbol"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19" w15:restartNumberingAfterBreak="0">
    <w:nsid w:val="53A41434"/>
    <w:multiLevelType w:val="hybridMultilevel"/>
    <w:tmpl w:val="D4069CA2"/>
    <w:lvl w:ilvl="0" w:tplc="AB6E2D68">
      <w:start w:val="1"/>
      <w:numFmt w:val="bullet"/>
      <w:lvlText w:val=""/>
      <w:lvlJc w:val="left"/>
      <w:pPr>
        <w:tabs>
          <w:tab w:val="num" w:pos="7650"/>
        </w:tabs>
        <w:ind w:left="7650" w:hanging="360"/>
      </w:pPr>
      <w:rPr>
        <w:rFonts w:ascii="Wingdings" w:hAnsi="Wingdings" w:hint="default"/>
        <w:color w:val="auto"/>
        <w:sz w:val="24"/>
        <w:szCs w:val="24"/>
      </w:rPr>
    </w:lvl>
    <w:lvl w:ilvl="1" w:tplc="7DDCFFB6">
      <w:start w:val="1"/>
      <w:numFmt w:val="bullet"/>
      <w:lvlText w:val=""/>
      <w:lvlJc w:val="left"/>
      <w:pPr>
        <w:tabs>
          <w:tab w:val="num" w:pos="1440"/>
        </w:tabs>
        <w:ind w:left="1440" w:hanging="360"/>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A14DC7"/>
    <w:multiLevelType w:val="hybridMultilevel"/>
    <w:tmpl w:val="0612223A"/>
    <w:lvl w:ilvl="0" w:tplc="04020003">
      <w:start w:val="1"/>
      <w:numFmt w:val="bullet"/>
      <w:lvlText w:val="o"/>
      <w:lvlJc w:val="left"/>
      <w:pPr>
        <w:tabs>
          <w:tab w:val="num" w:pos="1346"/>
        </w:tabs>
        <w:ind w:left="984" w:firstLine="96"/>
      </w:pPr>
      <w:rPr>
        <w:rFonts w:ascii="Courier New" w:hAnsi="Courier New" w:cs="Courier New"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1" w15:restartNumberingAfterBreak="0">
    <w:nsid w:val="55D92F24"/>
    <w:multiLevelType w:val="hybridMultilevel"/>
    <w:tmpl w:val="C3E23384"/>
    <w:lvl w:ilvl="0" w:tplc="0402000D">
      <w:start w:val="1"/>
      <w:numFmt w:val="bullet"/>
      <w:lvlText w:val=""/>
      <w:lvlJc w:val="left"/>
      <w:pPr>
        <w:ind w:left="2250" w:hanging="360"/>
      </w:pPr>
      <w:rPr>
        <w:rFonts w:ascii="Wingdings" w:hAnsi="Wingdings"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22" w15:restartNumberingAfterBreak="0">
    <w:nsid w:val="582E15B7"/>
    <w:multiLevelType w:val="hybridMultilevel"/>
    <w:tmpl w:val="B862F89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3" w15:restartNumberingAfterBreak="0">
    <w:nsid w:val="637F5E06"/>
    <w:multiLevelType w:val="hybridMultilevel"/>
    <w:tmpl w:val="18803A0C"/>
    <w:lvl w:ilvl="0" w:tplc="F934C166">
      <w:numFmt w:val="bullet"/>
      <w:lvlText w:val="-"/>
      <w:lvlJc w:val="left"/>
      <w:pPr>
        <w:ind w:left="898" w:hanging="360"/>
      </w:pPr>
      <w:rPr>
        <w:rFonts w:ascii="Times New Roman" w:eastAsia="Times New Roman" w:hAnsi="Times New Roman" w:cs="Times New Roman" w:hint="default"/>
      </w:rPr>
    </w:lvl>
    <w:lvl w:ilvl="1" w:tplc="04020003" w:tentative="1">
      <w:start w:val="1"/>
      <w:numFmt w:val="bullet"/>
      <w:lvlText w:val="o"/>
      <w:lvlJc w:val="left"/>
      <w:pPr>
        <w:ind w:left="1618" w:hanging="360"/>
      </w:pPr>
      <w:rPr>
        <w:rFonts w:ascii="Courier New" w:hAnsi="Courier New" w:cs="Courier New" w:hint="default"/>
      </w:rPr>
    </w:lvl>
    <w:lvl w:ilvl="2" w:tplc="04020005" w:tentative="1">
      <w:start w:val="1"/>
      <w:numFmt w:val="bullet"/>
      <w:lvlText w:val=""/>
      <w:lvlJc w:val="left"/>
      <w:pPr>
        <w:ind w:left="2338" w:hanging="360"/>
      </w:pPr>
      <w:rPr>
        <w:rFonts w:ascii="Wingdings" w:hAnsi="Wingdings" w:hint="default"/>
      </w:rPr>
    </w:lvl>
    <w:lvl w:ilvl="3" w:tplc="04020001" w:tentative="1">
      <w:start w:val="1"/>
      <w:numFmt w:val="bullet"/>
      <w:lvlText w:val=""/>
      <w:lvlJc w:val="left"/>
      <w:pPr>
        <w:ind w:left="3058" w:hanging="360"/>
      </w:pPr>
      <w:rPr>
        <w:rFonts w:ascii="Symbol" w:hAnsi="Symbol" w:hint="default"/>
      </w:rPr>
    </w:lvl>
    <w:lvl w:ilvl="4" w:tplc="04020003" w:tentative="1">
      <w:start w:val="1"/>
      <w:numFmt w:val="bullet"/>
      <w:lvlText w:val="o"/>
      <w:lvlJc w:val="left"/>
      <w:pPr>
        <w:ind w:left="3778" w:hanging="360"/>
      </w:pPr>
      <w:rPr>
        <w:rFonts w:ascii="Courier New" w:hAnsi="Courier New" w:cs="Courier New" w:hint="default"/>
      </w:rPr>
    </w:lvl>
    <w:lvl w:ilvl="5" w:tplc="04020005" w:tentative="1">
      <w:start w:val="1"/>
      <w:numFmt w:val="bullet"/>
      <w:lvlText w:val=""/>
      <w:lvlJc w:val="left"/>
      <w:pPr>
        <w:ind w:left="4498" w:hanging="360"/>
      </w:pPr>
      <w:rPr>
        <w:rFonts w:ascii="Wingdings" w:hAnsi="Wingdings" w:hint="default"/>
      </w:rPr>
    </w:lvl>
    <w:lvl w:ilvl="6" w:tplc="04020001" w:tentative="1">
      <w:start w:val="1"/>
      <w:numFmt w:val="bullet"/>
      <w:lvlText w:val=""/>
      <w:lvlJc w:val="left"/>
      <w:pPr>
        <w:ind w:left="5218" w:hanging="360"/>
      </w:pPr>
      <w:rPr>
        <w:rFonts w:ascii="Symbol" w:hAnsi="Symbol" w:hint="default"/>
      </w:rPr>
    </w:lvl>
    <w:lvl w:ilvl="7" w:tplc="04020003" w:tentative="1">
      <w:start w:val="1"/>
      <w:numFmt w:val="bullet"/>
      <w:lvlText w:val="o"/>
      <w:lvlJc w:val="left"/>
      <w:pPr>
        <w:ind w:left="5938" w:hanging="360"/>
      </w:pPr>
      <w:rPr>
        <w:rFonts w:ascii="Courier New" w:hAnsi="Courier New" w:cs="Courier New" w:hint="default"/>
      </w:rPr>
    </w:lvl>
    <w:lvl w:ilvl="8" w:tplc="04020005" w:tentative="1">
      <w:start w:val="1"/>
      <w:numFmt w:val="bullet"/>
      <w:lvlText w:val=""/>
      <w:lvlJc w:val="left"/>
      <w:pPr>
        <w:ind w:left="6658" w:hanging="360"/>
      </w:pPr>
      <w:rPr>
        <w:rFonts w:ascii="Wingdings" w:hAnsi="Wingdings" w:hint="default"/>
      </w:rPr>
    </w:lvl>
  </w:abstractNum>
  <w:abstractNum w:abstractNumId="24" w15:restartNumberingAfterBreak="0">
    <w:nsid w:val="643A5E75"/>
    <w:multiLevelType w:val="hybridMultilevel"/>
    <w:tmpl w:val="B314ADC8"/>
    <w:lvl w:ilvl="0" w:tplc="04020001">
      <w:start w:val="1"/>
      <w:numFmt w:val="bullet"/>
      <w:lvlText w:val=""/>
      <w:lvlJc w:val="left"/>
      <w:pPr>
        <w:tabs>
          <w:tab w:val="num" w:pos="1101"/>
        </w:tabs>
        <w:ind w:left="1101" w:hanging="360"/>
      </w:pPr>
      <w:rPr>
        <w:rFonts w:ascii="Symbol" w:hAnsi="Symbol" w:hint="default"/>
      </w:rPr>
    </w:lvl>
    <w:lvl w:ilvl="1" w:tplc="04020003">
      <w:start w:val="1"/>
      <w:numFmt w:val="bullet"/>
      <w:lvlText w:val="o"/>
      <w:lvlJc w:val="left"/>
      <w:pPr>
        <w:tabs>
          <w:tab w:val="num" w:pos="1821"/>
        </w:tabs>
        <w:ind w:left="1821" w:hanging="360"/>
      </w:pPr>
      <w:rPr>
        <w:rFonts w:ascii="Courier New" w:hAnsi="Courier New" w:cs="Courier New" w:hint="default"/>
      </w:rPr>
    </w:lvl>
    <w:lvl w:ilvl="2" w:tplc="04020005" w:tentative="1">
      <w:start w:val="1"/>
      <w:numFmt w:val="bullet"/>
      <w:lvlText w:val=""/>
      <w:lvlJc w:val="left"/>
      <w:pPr>
        <w:tabs>
          <w:tab w:val="num" w:pos="2541"/>
        </w:tabs>
        <w:ind w:left="2541" w:hanging="360"/>
      </w:pPr>
      <w:rPr>
        <w:rFonts w:ascii="Wingdings" w:hAnsi="Wingdings" w:hint="default"/>
      </w:rPr>
    </w:lvl>
    <w:lvl w:ilvl="3" w:tplc="04020001" w:tentative="1">
      <w:start w:val="1"/>
      <w:numFmt w:val="bullet"/>
      <w:lvlText w:val=""/>
      <w:lvlJc w:val="left"/>
      <w:pPr>
        <w:tabs>
          <w:tab w:val="num" w:pos="3261"/>
        </w:tabs>
        <w:ind w:left="3261" w:hanging="360"/>
      </w:pPr>
      <w:rPr>
        <w:rFonts w:ascii="Symbol" w:hAnsi="Symbol" w:hint="default"/>
      </w:rPr>
    </w:lvl>
    <w:lvl w:ilvl="4" w:tplc="04020003" w:tentative="1">
      <w:start w:val="1"/>
      <w:numFmt w:val="bullet"/>
      <w:lvlText w:val="o"/>
      <w:lvlJc w:val="left"/>
      <w:pPr>
        <w:tabs>
          <w:tab w:val="num" w:pos="3981"/>
        </w:tabs>
        <w:ind w:left="3981" w:hanging="360"/>
      </w:pPr>
      <w:rPr>
        <w:rFonts w:ascii="Courier New" w:hAnsi="Courier New" w:cs="Courier New" w:hint="default"/>
      </w:rPr>
    </w:lvl>
    <w:lvl w:ilvl="5" w:tplc="04020005" w:tentative="1">
      <w:start w:val="1"/>
      <w:numFmt w:val="bullet"/>
      <w:lvlText w:val=""/>
      <w:lvlJc w:val="left"/>
      <w:pPr>
        <w:tabs>
          <w:tab w:val="num" w:pos="4701"/>
        </w:tabs>
        <w:ind w:left="4701" w:hanging="360"/>
      </w:pPr>
      <w:rPr>
        <w:rFonts w:ascii="Wingdings" w:hAnsi="Wingdings" w:hint="default"/>
      </w:rPr>
    </w:lvl>
    <w:lvl w:ilvl="6" w:tplc="04020001" w:tentative="1">
      <w:start w:val="1"/>
      <w:numFmt w:val="bullet"/>
      <w:lvlText w:val=""/>
      <w:lvlJc w:val="left"/>
      <w:pPr>
        <w:tabs>
          <w:tab w:val="num" w:pos="5421"/>
        </w:tabs>
        <w:ind w:left="5421" w:hanging="360"/>
      </w:pPr>
      <w:rPr>
        <w:rFonts w:ascii="Symbol" w:hAnsi="Symbol" w:hint="default"/>
      </w:rPr>
    </w:lvl>
    <w:lvl w:ilvl="7" w:tplc="04020003" w:tentative="1">
      <w:start w:val="1"/>
      <w:numFmt w:val="bullet"/>
      <w:lvlText w:val="o"/>
      <w:lvlJc w:val="left"/>
      <w:pPr>
        <w:tabs>
          <w:tab w:val="num" w:pos="6141"/>
        </w:tabs>
        <w:ind w:left="6141" w:hanging="360"/>
      </w:pPr>
      <w:rPr>
        <w:rFonts w:ascii="Courier New" w:hAnsi="Courier New" w:cs="Courier New" w:hint="default"/>
      </w:rPr>
    </w:lvl>
    <w:lvl w:ilvl="8" w:tplc="04020005" w:tentative="1">
      <w:start w:val="1"/>
      <w:numFmt w:val="bullet"/>
      <w:lvlText w:val=""/>
      <w:lvlJc w:val="left"/>
      <w:pPr>
        <w:tabs>
          <w:tab w:val="num" w:pos="6861"/>
        </w:tabs>
        <w:ind w:left="6861" w:hanging="360"/>
      </w:pPr>
      <w:rPr>
        <w:rFonts w:ascii="Wingdings" w:hAnsi="Wingdings" w:hint="default"/>
      </w:rPr>
    </w:lvl>
  </w:abstractNum>
  <w:abstractNum w:abstractNumId="25" w15:restartNumberingAfterBreak="0">
    <w:nsid w:val="65CD370F"/>
    <w:multiLevelType w:val="hybridMultilevel"/>
    <w:tmpl w:val="F0D23F02"/>
    <w:lvl w:ilvl="0" w:tplc="708AF0F2">
      <w:start w:val="1"/>
      <w:numFmt w:val="bullet"/>
      <w:lvlText w:val=""/>
      <w:lvlJc w:val="left"/>
      <w:pPr>
        <w:tabs>
          <w:tab w:val="num" w:pos="700"/>
        </w:tabs>
        <w:ind w:left="700" w:hanging="360"/>
      </w:pPr>
      <w:rPr>
        <w:rFonts w:ascii="Symbol" w:hAnsi="Symbo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9E6BBC"/>
    <w:multiLevelType w:val="hybridMultilevel"/>
    <w:tmpl w:val="A3186A2C"/>
    <w:lvl w:ilvl="0" w:tplc="3B28C328">
      <w:start w:val="1"/>
      <w:numFmt w:val="bullet"/>
      <w:lvlText w:val="♦"/>
      <w:lvlJc w:val="left"/>
      <w:pPr>
        <w:tabs>
          <w:tab w:val="num" w:pos="2880"/>
        </w:tabs>
        <w:ind w:left="2880" w:hanging="360"/>
      </w:pPr>
      <w:rPr>
        <w:rFonts w:ascii="Courier New" w:hAnsi="Courier New" w:hint="default"/>
        <w:sz w:val="24"/>
        <w:szCs w:val="24"/>
      </w:rPr>
    </w:lvl>
    <w:lvl w:ilvl="1" w:tplc="8D0EC7F8">
      <w:start w:val="1"/>
      <w:numFmt w:val="bullet"/>
      <w:lvlText w:val=""/>
      <w:lvlJc w:val="left"/>
      <w:pPr>
        <w:tabs>
          <w:tab w:val="num" w:pos="2160"/>
        </w:tabs>
        <w:ind w:left="2160" w:hanging="360"/>
      </w:pPr>
      <w:rPr>
        <w:rFonts w:ascii="Wingdings" w:hAnsi="Wingdings" w:hint="default"/>
        <w:color w:val="auto"/>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8B65AC9"/>
    <w:multiLevelType w:val="hybridMultilevel"/>
    <w:tmpl w:val="313EA526"/>
    <w:lvl w:ilvl="0" w:tplc="257A31AA">
      <w:start w:val="1"/>
      <w:numFmt w:val="bullet"/>
      <w:lvlText w:val=""/>
      <w:lvlJc w:val="left"/>
      <w:pPr>
        <w:tabs>
          <w:tab w:val="num" w:pos="540"/>
        </w:tabs>
        <w:ind w:left="30" w:firstLine="1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204032"/>
    <w:multiLevelType w:val="hybridMultilevel"/>
    <w:tmpl w:val="5A7CE09A"/>
    <w:lvl w:ilvl="0" w:tplc="3B28C328">
      <w:start w:val="1"/>
      <w:numFmt w:val="bullet"/>
      <w:lvlText w:val="♦"/>
      <w:lvlJc w:val="left"/>
      <w:pPr>
        <w:tabs>
          <w:tab w:val="num" w:pos="2880"/>
        </w:tabs>
        <w:ind w:left="2880" w:hanging="360"/>
      </w:pPr>
      <w:rPr>
        <w:rFonts w:ascii="Courier New" w:hAnsi="Courier New" w:hint="default"/>
        <w:sz w:val="24"/>
        <w:szCs w:val="24"/>
      </w:rPr>
    </w:lvl>
    <w:lvl w:ilvl="1" w:tplc="7DDCFFB6">
      <w:start w:val="1"/>
      <w:numFmt w:val="bullet"/>
      <w:lvlText w:val=""/>
      <w:lvlJc w:val="left"/>
      <w:pPr>
        <w:tabs>
          <w:tab w:val="num" w:pos="2160"/>
        </w:tabs>
        <w:ind w:left="2160" w:hanging="360"/>
      </w:pPr>
      <w:rPr>
        <w:rFonts w:ascii="Wingdings" w:hAnsi="Wingdings" w:hint="default"/>
        <w:sz w:val="24"/>
        <w:szCs w:val="24"/>
      </w:rPr>
    </w:lvl>
    <w:lvl w:ilvl="2" w:tplc="F3BE7F08">
      <w:start w:val="1"/>
      <w:numFmt w:val="bullet"/>
      <w:lvlText w:val=""/>
      <w:lvlJc w:val="left"/>
      <w:pPr>
        <w:tabs>
          <w:tab w:val="num" w:pos="2880"/>
        </w:tabs>
        <w:ind w:left="2880" w:hanging="360"/>
      </w:pPr>
      <w:rPr>
        <w:rFonts w:ascii="Wingdings" w:hAnsi="Wingdings" w:hint="default"/>
        <w:color w:val="000000"/>
        <w:sz w:val="24"/>
        <w:szCs w:val="24"/>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E544B1C"/>
    <w:multiLevelType w:val="hybridMultilevel"/>
    <w:tmpl w:val="F19A58DE"/>
    <w:lvl w:ilvl="0" w:tplc="0402000B">
      <w:start w:val="1"/>
      <w:numFmt w:val="bullet"/>
      <w:lvlText w:val=""/>
      <w:lvlJc w:val="left"/>
      <w:pPr>
        <w:ind w:left="928"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30" w15:restartNumberingAfterBreak="0">
    <w:nsid w:val="6F1E15D4"/>
    <w:multiLevelType w:val="hybridMultilevel"/>
    <w:tmpl w:val="9DAEC4A6"/>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78209C"/>
    <w:multiLevelType w:val="hybridMultilevel"/>
    <w:tmpl w:val="5624217C"/>
    <w:lvl w:ilvl="0" w:tplc="CA968970">
      <w:start w:val="43"/>
      <w:numFmt w:val="bullet"/>
      <w:lvlText w:val="-"/>
      <w:lvlJc w:val="left"/>
      <w:pPr>
        <w:ind w:left="1429" w:hanging="360"/>
      </w:pPr>
      <w:rPr>
        <w:rFonts w:ascii="Times New Roman" w:eastAsia="Times New Roman" w:hAnsi="Times New Roman" w:cs="Times New Roman"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32" w15:restartNumberingAfterBreak="0">
    <w:nsid w:val="71812127"/>
    <w:multiLevelType w:val="multilevel"/>
    <w:tmpl w:val="FDE86A66"/>
    <w:lvl w:ilvl="0">
      <w:start w:val="1"/>
      <w:numFmt w:val="decimal"/>
      <w:lvlText w:val="%1."/>
      <w:lvlJc w:val="left"/>
      <w:pPr>
        <w:tabs>
          <w:tab w:val="num" w:pos="532"/>
        </w:tabs>
        <w:ind w:left="532" w:hanging="39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3" w15:restartNumberingAfterBreak="0">
    <w:nsid w:val="74400184"/>
    <w:multiLevelType w:val="hybridMultilevel"/>
    <w:tmpl w:val="93A0FF94"/>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CAE42808">
      <w:start w:val="1"/>
      <w:numFmt w:val="bullet"/>
      <w:lvlText w:val=""/>
      <w:lvlJc w:val="left"/>
      <w:pPr>
        <w:tabs>
          <w:tab w:val="num" w:pos="1440"/>
        </w:tabs>
        <w:ind w:left="1440" w:hanging="360"/>
      </w:pPr>
      <w:rPr>
        <w:rFonts w:ascii="Wingdings" w:hAnsi="Wingdings" w:hint="default"/>
        <w:color w:val="00000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D837F9"/>
    <w:multiLevelType w:val="hybridMultilevel"/>
    <w:tmpl w:val="21AA00B6"/>
    <w:lvl w:ilvl="0" w:tplc="3B28C328">
      <w:start w:val="1"/>
      <w:numFmt w:val="bullet"/>
      <w:lvlText w:val="♦"/>
      <w:lvlJc w:val="left"/>
      <w:pPr>
        <w:tabs>
          <w:tab w:val="num" w:pos="2880"/>
        </w:tabs>
        <w:ind w:left="2880" w:hanging="360"/>
      </w:pPr>
      <w:rPr>
        <w:rFonts w:ascii="Courier New" w:hAnsi="Courier New" w:hint="default"/>
        <w:sz w:val="24"/>
        <w:szCs w:val="24"/>
      </w:rPr>
    </w:lvl>
    <w:lvl w:ilvl="1" w:tplc="72E4233E">
      <w:start w:val="1"/>
      <w:numFmt w:val="bullet"/>
      <w:lvlText w:val=""/>
      <w:lvlJc w:val="left"/>
      <w:pPr>
        <w:tabs>
          <w:tab w:val="num" w:pos="2160"/>
        </w:tabs>
        <w:ind w:left="2160" w:hanging="360"/>
      </w:pPr>
      <w:rPr>
        <w:rFonts w:ascii="Symbol" w:hAnsi="Symbol" w:hint="default"/>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3"/>
  </w:num>
  <w:num w:numId="3">
    <w:abstractNumId w:val="27"/>
  </w:num>
  <w:num w:numId="4">
    <w:abstractNumId w:val="8"/>
  </w:num>
  <w:num w:numId="5">
    <w:abstractNumId w:val="30"/>
  </w:num>
  <w:num w:numId="6">
    <w:abstractNumId w:val="19"/>
  </w:num>
  <w:num w:numId="7">
    <w:abstractNumId w:val="25"/>
  </w:num>
  <w:num w:numId="8">
    <w:abstractNumId w:val="17"/>
  </w:num>
  <w:num w:numId="9">
    <w:abstractNumId w:val="32"/>
  </w:num>
  <w:num w:numId="10">
    <w:abstractNumId w:val="26"/>
  </w:num>
  <w:num w:numId="11">
    <w:abstractNumId w:val="24"/>
  </w:num>
  <w:num w:numId="12">
    <w:abstractNumId w:val="34"/>
  </w:num>
  <w:num w:numId="13">
    <w:abstractNumId w:val="33"/>
  </w:num>
  <w:num w:numId="14">
    <w:abstractNumId w:val="28"/>
  </w:num>
  <w:num w:numId="15">
    <w:abstractNumId w:val="15"/>
  </w:num>
  <w:num w:numId="16">
    <w:abstractNumId w:val="6"/>
  </w:num>
  <w:num w:numId="17">
    <w:abstractNumId w:val="7"/>
  </w:num>
  <w:num w:numId="18">
    <w:abstractNumId w:val="16"/>
  </w:num>
  <w:num w:numId="19">
    <w:abstractNumId w:val="21"/>
  </w:num>
  <w:num w:numId="20">
    <w:abstractNumId w:val="29"/>
  </w:num>
  <w:num w:numId="21">
    <w:abstractNumId w:val="22"/>
  </w:num>
  <w:num w:numId="22">
    <w:abstractNumId w:val="12"/>
  </w:num>
  <w:num w:numId="23">
    <w:abstractNumId w:val="0"/>
  </w:num>
  <w:num w:numId="24">
    <w:abstractNumId w:val="2"/>
  </w:num>
  <w:num w:numId="25">
    <w:abstractNumId w:val="31"/>
  </w:num>
  <w:num w:numId="26">
    <w:abstractNumId w:val="20"/>
  </w:num>
  <w:num w:numId="27">
    <w:abstractNumId w:val="5"/>
  </w:num>
  <w:num w:numId="28">
    <w:abstractNumId w:val="11"/>
  </w:num>
  <w:num w:numId="29">
    <w:abstractNumId w:val="18"/>
  </w:num>
  <w:num w:numId="30">
    <w:abstractNumId w:val="10"/>
  </w:num>
  <w:num w:numId="31">
    <w:abstractNumId w:val="1"/>
  </w:num>
  <w:num w:numId="32">
    <w:abstractNumId w:val="14"/>
  </w:num>
  <w:num w:numId="33">
    <w:abstractNumId w:val="3"/>
  </w:num>
  <w:num w:numId="34">
    <w:abstractNumId w:val="23"/>
  </w:num>
  <w:num w:numId="35">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E15"/>
    <w:rsid w:val="00000EF0"/>
    <w:rsid w:val="00000FE1"/>
    <w:rsid w:val="000010D2"/>
    <w:rsid w:val="00001580"/>
    <w:rsid w:val="000016BE"/>
    <w:rsid w:val="00001ABF"/>
    <w:rsid w:val="00001CF0"/>
    <w:rsid w:val="00002BD7"/>
    <w:rsid w:val="00002D9C"/>
    <w:rsid w:val="00003489"/>
    <w:rsid w:val="00003B52"/>
    <w:rsid w:val="00004264"/>
    <w:rsid w:val="00005544"/>
    <w:rsid w:val="00005A85"/>
    <w:rsid w:val="000063FC"/>
    <w:rsid w:val="000065C6"/>
    <w:rsid w:val="0000691E"/>
    <w:rsid w:val="00006956"/>
    <w:rsid w:val="00006A56"/>
    <w:rsid w:val="00006EBC"/>
    <w:rsid w:val="00007F94"/>
    <w:rsid w:val="000111D3"/>
    <w:rsid w:val="00011383"/>
    <w:rsid w:val="000119C6"/>
    <w:rsid w:val="000122E0"/>
    <w:rsid w:val="00012431"/>
    <w:rsid w:val="00012533"/>
    <w:rsid w:val="000126AC"/>
    <w:rsid w:val="0001276F"/>
    <w:rsid w:val="00012AE6"/>
    <w:rsid w:val="0001332F"/>
    <w:rsid w:val="0001356B"/>
    <w:rsid w:val="00013677"/>
    <w:rsid w:val="00013B93"/>
    <w:rsid w:val="00013C59"/>
    <w:rsid w:val="000146EA"/>
    <w:rsid w:val="000158A2"/>
    <w:rsid w:val="00015C0F"/>
    <w:rsid w:val="00015D5B"/>
    <w:rsid w:val="0001664B"/>
    <w:rsid w:val="00017412"/>
    <w:rsid w:val="000175C7"/>
    <w:rsid w:val="000178CA"/>
    <w:rsid w:val="00017EA1"/>
    <w:rsid w:val="0002050E"/>
    <w:rsid w:val="000215BD"/>
    <w:rsid w:val="00021A5F"/>
    <w:rsid w:val="000221B7"/>
    <w:rsid w:val="000229E1"/>
    <w:rsid w:val="00022CAC"/>
    <w:rsid w:val="00022D9E"/>
    <w:rsid w:val="00023244"/>
    <w:rsid w:val="0002351F"/>
    <w:rsid w:val="00023BF6"/>
    <w:rsid w:val="00023D31"/>
    <w:rsid w:val="00024065"/>
    <w:rsid w:val="0002444B"/>
    <w:rsid w:val="0002477E"/>
    <w:rsid w:val="0002478B"/>
    <w:rsid w:val="000249B9"/>
    <w:rsid w:val="000252F3"/>
    <w:rsid w:val="000256B4"/>
    <w:rsid w:val="00025953"/>
    <w:rsid w:val="00025F45"/>
    <w:rsid w:val="000262DF"/>
    <w:rsid w:val="00026903"/>
    <w:rsid w:val="0002693A"/>
    <w:rsid w:val="00026AD5"/>
    <w:rsid w:val="00027951"/>
    <w:rsid w:val="00027B74"/>
    <w:rsid w:val="00030353"/>
    <w:rsid w:val="00030658"/>
    <w:rsid w:val="000307D3"/>
    <w:rsid w:val="000311EA"/>
    <w:rsid w:val="00031377"/>
    <w:rsid w:val="00031593"/>
    <w:rsid w:val="00031710"/>
    <w:rsid w:val="000319CB"/>
    <w:rsid w:val="000320C8"/>
    <w:rsid w:val="00032966"/>
    <w:rsid w:val="00032B7F"/>
    <w:rsid w:val="00033525"/>
    <w:rsid w:val="00033590"/>
    <w:rsid w:val="00033ACB"/>
    <w:rsid w:val="000340ED"/>
    <w:rsid w:val="00034135"/>
    <w:rsid w:val="00034396"/>
    <w:rsid w:val="00034FE3"/>
    <w:rsid w:val="0003586B"/>
    <w:rsid w:val="000359FA"/>
    <w:rsid w:val="0003621F"/>
    <w:rsid w:val="000369D6"/>
    <w:rsid w:val="00036A1B"/>
    <w:rsid w:val="00037141"/>
    <w:rsid w:val="000377BC"/>
    <w:rsid w:val="000378DC"/>
    <w:rsid w:val="00040164"/>
    <w:rsid w:val="000406B2"/>
    <w:rsid w:val="0004080C"/>
    <w:rsid w:val="0004098D"/>
    <w:rsid w:val="00040C20"/>
    <w:rsid w:val="000411D9"/>
    <w:rsid w:val="00041338"/>
    <w:rsid w:val="00042634"/>
    <w:rsid w:val="00042853"/>
    <w:rsid w:val="00042C9E"/>
    <w:rsid w:val="00042E57"/>
    <w:rsid w:val="0004338F"/>
    <w:rsid w:val="000436DD"/>
    <w:rsid w:val="000439F5"/>
    <w:rsid w:val="00043AA0"/>
    <w:rsid w:val="00043AB2"/>
    <w:rsid w:val="00043E35"/>
    <w:rsid w:val="00043E3A"/>
    <w:rsid w:val="00044147"/>
    <w:rsid w:val="0004426E"/>
    <w:rsid w:val="00044273"/>
    <w:rsid w:val="00045116"/>
    <w:rsid w:val="00045688"/>
    <w:rsid w:val="000458F0"/>
    <w:rsid w:val="000465FC"/>
    <w:rsid w:val="0004753C"/>
    <w:rsid w:val="0005066A"/>
    <w:rsid w:val="00050A1B"/>
    <w:rsid w:val="00051E5E"/>
    <w:rsid w:val="00052449"/>
    <w:rsid w:val="00052485"/>
    <w:rsid w:val="0005284D"/>
    <w:rsid w:val="00052B23"/>
    <w:rsid w:val="00052C5C"/>
    <w:rsid w:val="00053B0F"/>
    <w:rsid w:val="00053C71"/>
    <w:rsid w:val="00053D51"/>
    <w:rsid w:val="00054555"/>
    <w:rsid w:val="000546BF"/>
    <w:rsid w:val="000548B8"/>
    <w:rsid w:val="00054CE2"/>
    <w:rsid w:val="00054E02"/>
    <w:rsid w:val="00055007"/>
    <w:rsid w:val="000551E4"/>
    <w:rsid w:val="00055A61"/>
    <w:rsid w:val="00055DD1"/>
    <w:rsid w:val="00056221"/>
    <w:rsid w:val="00056B58"/>
    <w:rsid w:val="00056D9D"/>
    <w:rsid w:val="0005737D"/>
    <w:rsid w:val="00057886"/>
    <w:rsid w:val="00060A02"/>
    <w:rsid w:val="00060B42"/>
    <w:rsid w:val="000613BA"/>
    <w:rsid w:val="0006166E"/>
    <w:rsid w:val="00061758"/>
    <w:rsid w:val="000621DE"/>
    <w:rsid w:val="00062315"/>
    <w:rsid w:val="00062A78"/>
    <w:rsid w:val="00063235"/>
    <w:rsid w:val="00063248"/>
    <w:rsid w:val="00063CF1"/>
    <w:rsid w:val="00063E15"/>
    <w:rsid w:val="000642B9"/>
    <w:rsid w:val="00064472"/>
    <w:rsid w:val="0006477A"/>
    <w:rsid w:val="00064AF3"/>
    <w:rsid w:val="00064C44"/>
    <w:rsid w:val="00064E39"/>
    <w:rsid w:val="00064F71"/>
    <w:rsid w:val="0006584F"/>
    <w:rsid w:val="00065A46"/>
    <w:rsid w:val="00065DF8"/>
    <w:rsid w:val="000663D1"/>
    <w:rsid w:val="000666C0"/>
    <w:rsid w:val="00066EED"/>
    <w:rsid w:val="00067283"/>
    <w:rsid w:val="00067469"/>
    <w:rsid w:val="0007047E"/>
    <w:rsid w:val="000709C1"/>
    <w:rsid w:val="00070A97"/>
    <w:rsid w:val="00071F12"/>
    <w:rsid w:val="0007251B"/>
    <w:rsid w:val="00072C4F"/>
    <w:rsid w:val="00072D22"/>
    <w:rsid w:val="00073108"/>
    <w:rsid w:val="00073DF5"/>
    <w:rsid w:val="00074744"/>
    <w:rsid w:val="000751C1"/>
    <w:rsid w:val="00075256"/>
    <w:rsid w:val="0007526B"/>
    <w:rsid w:val="000756FB"/>
    <w:rsid w:val="000768B3"/>
    <w:rsid w:val="00076B59"/>
    <w:rsid w:val="000801C8"/>
    <w:rsid w:val="00080AB2"/>
    <w:rsid w:val="00080EF5"/>
    <w:rsid w:val="0008155D"/>
    <w:rsid w:val="0008165A"/>
    <w:rsid w:val="000819F9"/>
    <w:rsid w:val="00081AFD"/>
    <w:rsid w:val="00082392"/>
    <w:rsid w:val="00082679"/>
    <w:rsid w:val="000827A4"/>
    <w:rsid w:val="000829EB"/>
    <w:rsid w:val="00082BD9"/>
    <w:rsid w:val="0008327E"/>
    <w:rsid w:val="000832E5"/>
    <w:rsid w:val="000833A2"/>
    <w:rsid w:val="0008357F"/>
    <w:rsid w:val="000853B1"/>
    <w:rsid w:val="00085704"/>
    <w:rsid w:val="00085734"/>
    <w:rsid w:val="00085B96"/>
    <w:rsid w:val="00085E01"/>
    <w:rsid w:val="00085E1A"/>
    <w:rsid w:val="00086FA7"/>
    <w:rsid w:val="00087295"/>
    <w:rsid w:val="0008745A"/>
    <w:rsid w:val="000878C4"/>
    <w:rsid w:val="00087ED6"/>
    <w:rsid w:val="0009002F"/>
    <w:rsid w:val="000900E3"/>
    <w:rsid w:val="000901EA"/>
    <w:rsid w:val="000902B5"/>
    <w:rsid w:val="00090D1D"/>
    <w:rsid w:val="00091196"/>
    <w:rsid w:val="00091BCE"/>
    <w:rsid w:val="000931C8"/>
    <w:rsid w:val="000937AB"/>
    <w:rsid w:val="000937E0"/>
    <w:rsid w:val="00093CFC"/>
    <w:rsid w:val="00093F6F"/>
    <w:rsid w:val="000943E4"/>
    <w:rsid w:val="000949D3"/>
    <w:rsid w:val="00094A6C"/>
    <w:rsid w:val="00094A78"/>
    <w:rsid w:val="00095164"/>
    <w:rsid w:val="0009519B"/>
    <w:rsid w:val="000959DC"/>
    <w:rsid w:val="00095EF0"/>
    <w:rsid w:val="0009743A"/>
    <w:rsid w:val="00097C52"/>
    <w:rsid w:val="000A052A"/>
    <w:rsid w:val="000A09BA"/>
    <w:rsid w:val="000A10E1"/>
    <w:rsid w:val="000A301B"/>
    <w:rsid w:val="000A3426"/>
    <w:rsid w:val="000A3F57"/>
    <w:rsid w:val="000A4432"/>
    <w:rsid w:val="000A5B32"/>
    <w:rsid w:val="000A6E4D"/>
    <w:rsid w:val="000A7446"/>
    <w:rsid w:val="000A7841"/>
    <w:rsid w:val="000B0616"/>
    <w:rsid w:val="000B0815"/>
    <w:rsid w:val="000B09E5"/>
    <w:rsid w:val="000B0BED"/>
    <w:rsid w:val="000B0CE6"/>
    <w:rsid w:val="000B11FB"/>
    <w:rsid w:val="000B175F"/>
    <w:rsid w:val="000B1A24"/>
    <w:rsid w:val="000B1E59"/>
    <w:rsid w:val="000B25CC"/>
    <w:rsid w:val="000B2CBE"/>
    <w:rsid w:val="000B330C"/>
    <w:rsid w:val="000B460F"/>
    <w:rsid w:val="000B474D"/>
    <w:rsid w:val="000B49EE"/>
    <w:rsid w:val="000B52FA"/>
    <w:rsid w:val="000B5F1E"/>
    <w:rsid w:val="000B62C7"/>
    <w:rsid w:val="000B6D3A"/>
    <w:rsid w:val="000B7234"/>
    <w:rsid w:val="000B7447"/>
    <w:rsid w:val="000B75C1"/>
    <w:rsid w:val="000B7C4F"/>
    <w:rsid w:val="000B7E66"/>
    <w:rsid w:val="000C019B"/>
    <w:rsid w:val="000C06FE"/>
    <w:rsid w:val="000C0A44"/>
    <w:rsid w:val="000C0FA1"/>
    <w:rsid w:val="000C13A5"/>
    <w:rsid w:val="000C244E"/>
    <w:rsid w:val="000C2FAC"/>
    <w:rsid w:val="000C3451"/>
    <w:rsid w:val="000C4760"/>
    <w:rsid w:val="000C4CBB"/>
    <w:rsid w:val="000C56B9"/>
    <w:rsid w:val="000C5ACF"/>
    <w:rsid w:val="000C5C6D"/>
    <w:rsid w:val="000C6079"/>
    <w:rsid w:val="000C6742"/>
    <w:rsid w:val="000C69AE"/>
    <w:rsid w:val="000C6CB5"/>
    <w:rsid w:val="000C6CF3"/>
    <w:rsid w:val="000C6EFE"/>
    <w:rsid w:val="000C72DC"/>
    <w:rsid w:val="000C7303"/>
    <w:rsid w:val="000C736E"/>
    <w:rsid w:val="000C75A5"/>
    <w:rsid w:val="000C75DD"/>
    <w:rsid w:val="000C773E"/>
    <w:rsid w:val="000C7BB6"/>
    <w:rsid w:val="000D01A6"/>
    <w:rsid w:val="000D0538"/>
    <w:rsid w:val="000D06A6"/>
    <w:rsid w:val="000D0AB1"/>
    <w:rsid w:val="000D13E1"/>
    <w:rsid w:val="000D23F8"/>
    <w:rsid w:val="000D2516"/>
    <w:rsid w:val="000D26D5"/>
    <w:rsid w:val="000D2B33"/>
    <w:rsid w:val="000D2BE7"/>
    <w:rsid w:val="000D3407"/>
    <w:rsid w:val="000D3942"/>
    <w:rsid w:val="000D3FA7"/>
    <w:rsid w:val="000D4203"/>
    <w:rsid w:val="000D46FD"/>
    <w:rsid w:val="000D49F5"/>
    <w:rsid w:val="000D4BEB"/>
    <w:rsid w:val="000D4CF8"/>
    <w:rsid w:val="000D5449"/>
    <w:rsid w:val="000D5722"/>
    <w:rsid w:val="000D5EE2"/>
    <w:rsid w:val="000D6D92"/>
    <w:rsid w:val="000D725A"/>
    <w:rsid w:val="000D740D"/>
    <w:rsid w:val="000D78E4"/>
    <w:rsid w:val="000D7B46"/>
    <w:rsid w:val="000E0B42"/>
    <w:rsid w:val="000E0EBA"/>
    <w:rsid w:val="000E0EE9"/>
    <w:rsid w:val="000E1529"/>
    <w:rsid w:val="000E1EAF"/>
    <w:rsid w:val="000E1FB5"/>
    <w:rsid w:val="000E2207"/>
    <w:rsid w:val="000E234B"/>
    <w:rsid w:val="000E2869"/>
    <w:rsid w:val="000E2894"/>
    <w:rsid w:val="000E2B21"/>
    <w:rsid w:val="000E39DF"/>
    <w:rsid w:val="000E3BA7"/>
    <w:rsid w:val="000E3CDC"/>
    <w:rsid w:val="000E4599"/>
    <w:rsid w:val="000E4CFE"/>
    <w:rsid w:val="000E4EB4"/>
    <w:rsid w:val="000E5205"/>
    <w:rsid w:val="000E5295"/>
    <w:rsid w:val="000E5483"/>
    <w:rsid w:val="000E5EE9"/>
    <w:rsid w:val="000E632B"/>
    <w:rsid w:val="000E6968"/>
    <w:rsid w:val="000E69D1"/>
    <w:rsid w:val="000E76B3"/>
    <w:rsid w:val="000E773D"/>
    <w:rsid w:val="000F04F4"/>
    <w:rsid w:val="000F1488"/>
    <w:rsid w:val="000F1EB1"/>
    <w:rsid w:val="000F26DE"/>
    <w:rsid w:val="000F32E9"/>
    <w:rsid w:val="000F3534"/>
    <w:rsid w:val="000F3A6E"/>
    <w:rsid w:val="000F3EA1"/>
    <w:rsid w:val="000F47A8"/>
    <w:rsid w:val="000F4AE4"/>
    <w:rsid w:val="000F4DCA"/>
    <w:rsid w:val="000F5080"/>
    <w:rsid w:val="000F57CC"/>
    <w:rsid w:val="000F5EC6"/>
    <w:rsid w:val="000F5EF4"/>
    <w:rsid w:val="000F5F76"/>
    <w:rsid w:val="000F68AF"/>
    <w:rsid w:val="000F6975"/>
    <w:rsid w:val="000F6B35"/>
    <w:rsid w:val="0010026D"/>
    <w:rsid w:val="0010055E"/>
    <w:rsid w:val="001006E1"/>
    <w:rsid w:val="00100931"/>
    <w:rsid w:val="00100CE5"/>
    <w:rsid w:val="00100D97"/>
    <w:rsid w:val="001011A4"/>
    <w:rsid w:val="00101301"/>
    <w:rsid w:val="001017B7"/>
    <w:rsid w:val="00101B1C"/>
    <w:rsid w:val="00101D61"/>
    <w:rsid w:val="0010212B"/>
    <w:rsid w:val="00102523"/>
    <w:rsid w:val="0010261A"/>
    <w:rsid w:val="00102869"/>
    <w:rsid w:val="001028F7"/>
    <w:rsid w:val="00102BA6"/>
    <w:rsid w:val="0010358B"/>
    <w:rsid w:val="00103BC3"/>
    <w:rsid w:val="0010424C"/>
    <w:rsid w:val="001046B0"/>
    <w:rsid w:val="00104BB5"/>
    <w:rsid w:val="0010539A"/>
    <w:rsid w:val="001053A6"/>
    <w:rsid w:val="00106081"/>
    <w:rsid w:val="0010649F"/>
    <w:rsid w:val="0010683E"/>
    <w:rsid w:val="00106E64"/>
    <w:rsid w:val="00107065"/>
    <w:rsid w:val="00107258"/>
    <w:rsid w:val="0010743D"/>
    <w:rsid w:val="00107498"/>
    <w:rsid w:val="001077FA"/>
    <w:rsid w:val="00107C9F"/>
    <w:rsid w:val="00107F93"/>
    <w:rsid w:val="00110E74"/>
    <w:rsid w:val="0011244D"/>
    <w:rsid w:val="00112882"/>
    <w:rsid w:val="00112CAC"/>
    <w:rsid w:val="00112E96"/>
    <w:rsid w:val="00113FD8"/>
    <w:rsid w:val="00114DE5"/>
    <w:rsid w:val="00116D77"/>
    <w:rsid w:val="001173BA"/>
    <w:rsid w:val="001179C1"/>
    <w:rsid w:val="00117C68"/>
    <w:rsid w:val="00117CA6"/>
    <w:rsid w:val="001202E6"/>
    <w:rsid w:val="00120BC1"/>
    <w:rsid w:val="00120CC7"/>
    <w:rsid w:val="00121946"/>
    <w:rsid w:val="00122BBB"/>
    <w:rsid w:val="00122F3A"/>
    <w:rsid w:val="00122FCA"/>
    <w:rsid w:val="00123862"/>
    <w:rsid w:val="00123B59"/>
    <w:rsid w:val="00123CED"/>
    <w:rsid w:val="00123E2A"/>
    <w:rsid w:val="00124548"/>
    <w:rsid w:val="00124777"/>
    <w:rsid w:val="00124FAC"/>
    <w:rsid w:val="00124FB9"/>
    <w:rsid w:val="00125B7A"/>
    <w:rsid w:val="001260AA"/>
    <w:rsid w:val="001264C3"/>
    <w:rsid w:val="00126707"/>
    <w:rsid w:val="00126805"/>
    <w:rsid w:val="001269AE"/>
    <w:rsid w:val="00127D25"/>
    <w:rsid w:val="001301B6"/>
    <w:rsid w:val="001305A6"/>
    <w:rsid w:val="00131B05"/>
    <w:rsid w:val="00132423"/>
    <w:rsid w:val="00132AD1"/>
    <w:rsid w:val="00132CE0"/>
    <w:rsid w:val="00133033"/>
    <w:rsid w:val="0013308F"/>
    <w:rsid w:val="00133183"/>
    <w:rsid w:val="00133478"/>
    <w:rsid w:val="00133644"/>
    <w:rsid w:val="001342F2"/>
    <w:rsid w:val="0013522E"/>
    <w:rsid w:val="0013588C"/>
    <w:rsid w:val="00135A23"/>
    <w:rsid w:val="00135E92"/>
    <w:rsid w:val="00136893"/>
    <w:rsid w:val="00136C08"/>
    <w:rsid w:val="00136DA4"/>
    <w:rsid w:val="001371FA"/>
    <w:rsid w:val="0013776C"/>
    <w:rsid w:val="00140F18"/>
    <w:rsid w:val="00140F61"/>
    <w:rsid w:val="0014108F"/>
    <w:rsid w:val="00141B03"/>
    <w:rsid w:val="001423F5"/>
    <w:rsid w:val="00142979"/>
    <w:rsid w:val="00142ABD"/>
    <w:rsid w:val="00142EDB"/>
    <w:rsid w:val="00143002"/>
    <w:rsid w:val="001434EA"/>
    <w:rsid w:val="00143814"/>
    <w:rsid w:val="001445AC"/>
    <w:rsid w:val="00144B67"/>
    <w:rsid w:val="00144BF2"/>
    <w:rsid w:val="0014585D"/>
    <w:rsid w:val="00145944"/>
    <w:rsid w:val="00145AD1"/>
    <w:rsid w:val="001462A0"/>
    <w:rsid w:val="00146314"/>
    <w:rsid w:val="001466F3"/>
    <w:rsid w:val="00146C11"/>
    <w:rsid w:val="00147195"/>
    <w:rsid w:val="00150706"/>
    <w:rsid w:val="00150793"/>
    <w:rsid w:val="00150D38"/>
    <w:rsid w:val="00151260"/>
    <w:rsid w:val="001514CB"/>
    <w:rsid w:val="00151757"/>
    <w:rsid w:val="00152672"/>
    <w:rsid w:val="001528EE"/>
    <w:rsid w:val="00152B9C"/>
    <w:rsid w:val="00153077"/>
    <w:rsid w:val="001535F3"/>
    <w:rsid w:val="00153DF3"/>
    <w:rsid w:val="00154247"/>
    <w:rsid w:val="00154DE5"/>
    <w:rsid w:val="00154FA1"/>
    <w:rsid w:val="00155948"/>
    <w:rsid w:val="00155B06"/>
    <w:rsid w:val="00156356"/>
    <w:rsid w:val="00156A3B"/>
    <w:rsid w:val="00156B18"/>
    <w:rsid w:val="00156F40"/>
    <w:rsid w:val="00157673"/>
    <w:rsid w:val="00157743"/>
    <w:rsid w:val="00157B70"/>
    <w:rsid w:val="00157EC4"/>
    <w:rsid w:val="00157EF5"/>
    <w:rsid w:val="0016023C"/>
    <w:rsid w:val="001606A4"/>
    <w:rsid w:val="00160A10"/>
    <w:rsid w:val="00160C5B"/>
    <w:rsid w:val="00160EC6"/>
    <w:rsid w:val="0016116C"/>
    <w:rsid w:val="0016122A"/>
    <w:rsid w:val="0016140B"/>
    <w:rsid w:val="00161F90"/>
    <w:rsid w:val="001623A2"/>
    <w:rsid w:val="00162F68"/>
    <w:rsid w:val="00163645"/>
    <w:rsid w:val="00164220"/>
    <w:rsid w:val="001643F8"/>
    <w:rsid w:val="00164961"/>
    <w:rsid w:val="00164FAD"/>
    <w:rsid w:val="00165DB5"/>
    <w:rsid w:val="00165FF0"/>
    <w:rsid w:val="00166023"/>
    <w:rsid w:val="001663F9"/>
    <w:rsid w:val="001668BD"/>
    <w:rsid w:val="001671E2"/>
    <w:rsid w:val="0017086C"/>
    <w:rsid w:val="00170EFE"/>
    <w:rsid w:val="00171333"/>
    <w:rsid w:val="00171F8E"/>
    <w:rsid w:val="0017216E"/>
    <w:rsid w:val="0017293F"/>
    <w:rsid w:val="00172AEE"/>
    <w:rsid w:val="00173987"/>
    <w:rsid w:val="00173C2D"/>
    <w:rsid w:val="00174441"/>
    <w:rsid w:val="0017483F"/>
    <w:rsid w:val="00174C24"/>
    <w:rsid w:val="0017545F"/>
    <w:rsid w:val="00175539"/>
    <w:rsid w:val="00175890"/>
    <w:rsid w:val="00175E50"/>
    <w:rsid w:val="00176340"/>
    <w:rsid w:val="00176403"/>
    <w:rsid w:val="00176AE7"/>
    <w:rsid w:val="00176CB6"/>
    <w:rsid w:val="00176E98"/>
    <w:rsid w:val="00177307"/>
    <w:rsid w:val="00180811"/>
    <w:rsid w:val="001808E6"/>
    <w:rsid w:val="00180AEF"/>
    <w:rsid w:val="0018154E"/>
    <w:rsid w:val="00181857"/>
    <w:rsid w:val="00181FCA"/>
    <w:rsid w:val="001820C4"/>
    <w:rsid w:val="001824F0"/>
    <w:rsid w:val="001827BB"/>
    <w:rsid w:val="00182A2B"/>
    <w:rsid w:val="00182A94"/>
    <w:rsid w:val="00182C1A"/>
    <w:rsid w:val="00182D63"/>
    <w:rsid w:val="00182F27"/>
    <w:rsid w:val="00183392"/>
    <w:rsid w:val="0018398A"/>
    <w:rsid w:val="00183D5F"/>
    <w:rsid w:val="00183EA5"/>
    <w:rsid w:val="00183FAF"/>
    <w:rsid w:val="00184502"/>
    <w:rsid w:val="0018452B"/>
    <w:rsid w:val="001845D5"/>
    <w:rsid w:val="00184DF2"/>
    <w:rsid w:val="001850C5"/>
    <w:rsid w:val="0018526D"/>
    <w:rsid w:val="001858CD"/>
    <w:rsid w:val="00185A12"/>
    <w:rsid w:val="00185BF6"/>
    <w:rsid w:val="00185D08"/>
    <w:rsid w:val="00186536"/>
    <w:rsid w:val="001869BB"/>
    <w:rsid w:val="00186C81"/>
    <w:rsid w:val="00186DF9"/>
    <w:rsid w:val="00187C31"/>
    <w:rsid w:val="00190983"/>
    <w:rsid w:val="0019151C"/>
    <w:rsid w:val="00191AA6"/>
    <w:rsid w:val="00191AB6"/>
    <w:rsid w:val="00191B55"/>
    <w:rsid w:val="00191EC8"/>
    <w:rsid w:val="00191F79"/>
    <w:rsid w:val="0019213B"/>
    <w:rsid w:val="0019232E"/>
    <w:rsid w:val="0019239F"/>
    <w:rsid w:val="001924F6"/>
    <w:rsid w:val="00192CDB"/>
    <w:rsid w:val="00193D9B"/>
    <w:rsid w:val="00193F20"/>
    <w:rsid w:val="0019413C"/>
    <w:rsid w:val="001941E4"/>
    <w:rsid w:val="00194AF7"/>
    <w:rsid w:val="001953AC"/>
    <w:rsid w:val="00195517"/>
    <w:rsid w:val="00195B15"/>
    <w:rsid w:val="00195BE8"/>
    <w:rsid w:val="00195CF2"/>
    <w:rsid w:val="00195E11"/>
    <w:rsid w:val="00195F99"/>
    <w:rsid w:val="00195FB3"/>
    <w:rsid w:val="001965AA"/>
    <w:rsid w:val="0019667B"/>
    <w:rsid w:val="001968E4"/>
    <w:rsid w:val="001971AE"/>
    <w:rsid w:val="00197278"/>
    <w:rsid w:val="00197392"/>
    <w:rsid w:val="00197764"/>
    <w:rsid w:val="00197EC3"/>
    <w:rsid w:val="00197FB1"/>
    <w:rsid w:val="001A0601"/>
    <w:rsid w:val="001A0BB0"/>
    <w:rsid w:val="001A1837"/>
    <w:rsid w:val="001A1C51"/>
    <w:rsid w:val="001A236F"/>
    <w:rsid w:val="001A28BA"/>
    <w:rsid w:val="001A3051"/>
    <w:rsid w:val="001A3387"/>
    <w:rsid w:val="001A4493"/>
    <w:rsid w:val="001A4589"/>
    <w:rsid w:val="001A5350"/>
    <w:rsid w:val="001A5398"/>
    <w:rsid w:val="001A5553"/>
    <w:rsid w:val="001A59AF"/>
    <w:rsid w:val="001A6777"/>
    <w:rsid w:val="001A6D21"/>
    <w:rsid w:val="001A718A"/>
    <w:rsid w:val="001A718F"/>
    <w:rsid w:val="001A75B9"/>
    <w:rsid w:val="001B09A8"/>
    <w:rsid w:val="001B18C3"/>
    <w:rsid w:val="001B1C70"/>
    <w:rsid w:val="001B20E4"/>
    <w:rsid w:val="001B2D1F"/>
    <w:rsid w:val="001B2FCD"/>
    <w:rsid w:val="001B3285"/>
    <w:rsid w:val="001B370A"/>
    <w:rsid w:val="001B39DD"/>
    <w:rsid w:val="001B3BA9"/>
    <w:rsid w:val="001B3E1C"/>
    <w:rsid w:val="001B4165"/>
    <w:rsid w:val="001B427B"/>
    <w:rsid w:val="001B44DB"/>
    <w:rsid w:val="001B5EA6"/>
    <w:rsid w:val="001B72FB"/>
    <w:rsid w:val="001C0277"/>
    <w:rsid w:val="001C0F05"/>
    <w:rsid w:val="001C110F"/>
    <w:rsid w:val="001C129D"/>
    <w:rsid w:val="001C15B0"/>
    <w:rsid w:val="001C239A"/>
    <w:rsid w:val="001C2EE5"/>
    <w:rsid w:val="001C395A"/>
    <w:rsid w:val="001C3A25"/>
    <w:rsid w:val="001C486C"/>
    <w:rsid w:val="001C4B35"/>
    <w:rsid w:val="001C4CCF"/>
    <w:rsid w:val="001C501A"/>
    <w:rsid w:val="001C5CC2"/>
    <w:rsid w:val="001C61DB"/>
    <w:rsid w:val="001C6573"/>
    <w:rsid w:val="001C6BA6"/>
    <w:rsid w:val="001C726D"/>
    <w:rsid w:val="001C78CA"/>
    <w:rsid w:val="001D01FB"/>
    <w:rsid w:val="001D0221"/>
    <w:rsid w:val="001D03BA"/>
    <w:rsid w:val="001D13AD"/>
    <w:rsid w:val="001D15E5"/>
    <w:rsid w:val="001D2381"/>
    <w:rsid w:val="001D29EA"/>
    <w:rsid w:val="001D2AFB"/>
    <w:rsid w:val="001D2CE9"/>
    <w:rsid w:val="001D34AF"/>
    <w:rsid w:val="001D3E63"/>
    <w:rsid w:val="001D40DA"/>
    <w:rsid w:val="001D419F"/>
    <w:rsid w:val="001D43D0"/>
    <w:rsid w:val="001D516B"/>
    <w:rsid w:val="001D5A4E"/>
    <w:rsid w:val="001D5D9A"/>
    <w:rsid w:val="001D6081"/>
    <w:rsid w:val="001D6B29"/>
    <w:rsid w:val="001D6F2E"/>
    <w:rsid w:val="001D71BC"/>
    <w:rsid w:val="001D7346"/>
    <w:rsid w:val="001D755A"/>
    <w:rsid w:val="001E0367"/>
    <w:rsid w:val="001E094C"/>
    <w:rsid w:val="001E11E2"/>
    <w:rsid w:val="001E1857"/>
    <w:rsid w:val="001E2231"/>
    <w:rsid w:val="001E27FB"/>
    <w:rsid w:val="001E2B1A"/>
    <w:rsid w:val="001E3485"/>
    <w:rsid w:val="001E373E"/>
    <w:rsid w:val="001E3753"/>
    <w:rsid w:val="001E383E"/>
    <w:rsid w:val="001E4011"/>
    <w:rsid w:val="001E4060"/>
    <w:rsid w:val="001E4456"/>
    <w:rsid w:val="001E44C8"/>
    <w:rsid w:val="001E4518"/>
    <w:rsid w:val="001E467A"/>
    <w:rsid w:val="001E4E88"/>
    <w:rsid w:val="001E4FFF"/>
    <w:rsid w:val="001E5747"/>
    <w:rsid w:val="001E5BEE"/>
    <w:rsid w:val="001E619D"/>
    <w:rsid w:val="001E6889"/>
    <w:rsid w:val="001E68EE"/>
    <w:rsid w:val="001E751C"/>
    <w:rsid w:val="001E77C4"/>
    <w:rsid w:val="001E7EA4"/>
    <w:rsid w:val="001F00B7"/>
    <w:rsid w:val="001F1092"/>
    <w:rsid w:val="001F18AA"/>
    <w:rsid w:val="001F1E88"/>
    <w:rsid w:val="001F200A"/>
    <w:rsid w:val="001F2337"/>
    <w:rsid w:val="001F2FB5"/>
    <w:rsid w:val="001F367C"/>
    <w:rsid w:val="001F4EB9"/>
    <w:rsid w:val="001F4FDB"/>
    <w:rsid w:val="001F540A"/>
    <w:rsid w:val="001F58AB"/>
    <w:rsid w:val="001F5D2F"/>
    <w:rsid w:val="001F5E20"/>
    <w:rsid w:val="001F5FA3"/>
    <w:rsid w:val="001F60AC"/>
    <w:rsid w:val="001F6E1E"/>
    <w:rsid w:val="001F6F0C"/>
    <w:rsid w:val="001F73E9"/>
    <w:rsid w:val="001F74B9"/>
    <w:rsid w:val="001F7F82"/>
    <w:rsid w:val="002002AA"/>
    <w:rsid w:val="002003C3"/>
    <w:rsid w:val="00200D50"/>
    <w:rsid w:val="002019D1"/>
    <w:rsid w:val="00201E8F"/>
    <w:rsid w:val="002023B3"/>
    <w:rsid w:val="00202CDB"/>
    <w:rsid w:val="00203052"/>
    <w:rsid w:val="0020342F"/>
    <w:rsid w:val="00204381"/>
    <w:rsid w:val="002045FE"/>
    <w:rsid w:val="00204779"/>
    <w:rsid w:val="00204799"/>
    <w:rsid w:val="00204B8D"/>
    <w:rsid w:val="00204EBE"/>
    <w:rsid w:val="002051EA"/>
    <w:rsid w:val="00205B05"/>
    <w:rsid w:val="002060C2"/>
    <w:rsid w:val="00207674"/>
    <w:rsid w:val="002076D5"/>
    <w:rsid w:val="00207C9E"/>
    <w:rsid w:val="002111F3"/>
    <w:rsid w:val="002117F4"/>
    <w:rsid w:val="002118E8"/>
    <w:rsid w:val="00212024"/>
    <w:rsid w:val="00212116"/>
    <w:rsid w:val="00212798"/>
    <w:rsid w:val="00213180"/>
    <w:rsid w:val="002136EF"/>
    <w:rsid w:val="00213A5A"/>
    <w:rsid w:val="00213D58"/>
    <w:rsid w:val="00213EB4"/>
    <w:rsid w:val="002142CA"/>
    <w:rsid w:val="0021481A"/>
    <w:rsid w:val="00214D1A"/>
    <w:rsid w:val="00214EEA"/>
    <w:rsid w:val="00214FBE"/>
    <w:rsid w:val="00215254"/>
    <w:rsid w:val="00215ADA"/>
    <w:rsid w:val="00216326"/>
    <w:rsid w:val="00216648"/>
    <w:rsid w:val="00216651"/>
    <w:rsid w:val="0021671E"/>
    <w:rsid w:val="00216AAD"/>
    <w:rsid w:val="00216C9A"/>
    <w:rsid w:val="00216D51"/>
    <w:rsid w:val="00217096"/>
    <w:rsid w:val="00217C7A"/>
    <w:rsid w:val="00217E93"/>
    <w:rsid w:val="00217FC2"/>
    <w:rsid w:val="00220265"/>
    <w:rsid w:val="0022027B"/>
    <w:rsid w:val="00220699"/>
    <w:rsid w:val="00220CF8"/>
    <w:rsid w:val="00220D8D"/>
    <w:rsid w:val="0022151A"/>
    <w:rsid w:val="002215FD"/>
    <w:rsid w:val="002216C7"/>
    <w:rsid w:val="00221E48"/>
    <w:rsid w:val="00222173"/>
    <w:rsid w:val="00222228"/>
    <w:rsid w:val="00222370"/>
    <w:rsid w:val="00222CBD"/>
    <w:rsid w:val="00223892"/>
    <w:rsid w:val="00223940"/>
    <w:rsid w:val="00223F09"/>
    <w:rsid w:val="002245C8"/>
    <w:rsid w:val="0022465E"/>
    <w:rsid w:val="00225164"/>
    <w:rsid w:val="00225168"/>
    <w:rsid w:val="0023041D"/>
    <w:rsid w:val="00231057"/>
    <w:rsid w:val="00231363"/>
    <w:rsid w:val="00231385"/>
    <w:rsid w:val="002316E9"/>
    <w:rsid w:val="0023269D"/>
    <w:rsid w:val="002326C1"/>
    <w:rsid w:val="00232A8A"/>
    <w:rsid w:val="00233032"/>
    <w:rsid w:val="002332F7"/>
    <w:rsid w:val="00233986"/>
    <w:rsid w:val="00233D50"/>
    <w:rsid w:val="00234372"/>
    <w:rsid w:val="002346FD"/>
    <w:rsid w:val="00234798"/>
    <w:rsid w:val="00240C3D"/>
    <w:rsid w:val="00240D9B"/>
    <w:rsid w:val="002413A5"/>
    <w:rsid w:val="00241466"/>
    <w:rsid w:val="00241F56"/>
    <w:rsid w:val="002421FC"/>
    <w:rsid w:val="00242676"/>
    <w:rsid w:val="002433B0"/>
    <w:rsid w:val="00243641"/>
    <w:rsid w:val="00243BE3"/>
    <w:rsid w:val="0024415B"/>
    <w:rsid w:val="00244642"/>
    <w:rsid w:val="00244D15"/>
    <w:rsid w:val="00244E1B"/>
    <w:rsid w:val="00245445"/>
    <w:rsid w:val="00245474"/>
    <w:rsid w:val="002462FC"/>
    <w:rsid w:val="00246417"/>
    <w:rsid w:val="00247270"/>
    <w:rsid w:val="0024752F"/>
    <w:rsid w:val="00247C3E"/>
    <w:rsid w:val="002500E6"/>
    <w:rsid w:val="00250178"/>
    <w:rsid w:val="00250302"/>
    <w:rsid w:val="002503BA"/>
    <w:rsid w:val="002509DA"/>
    <w:rsid w:val="00251005"/>
    <w:rsid w:val="0025173F"/>
    <w:rsid w:val="00251963"/>
    <w:rsid w:val="00251F57"/>
    <w:rsid w:val="0025220D"/>
    <w:rsid w:val="002529E3"/>
    <w:rsid w:val="00252E78"/>
    <w:rsid w:val="00252F17"/>
    <w:rsid w:val="00253194"/>
    <w:rsid w:val="0025359A"/>
    <w:rsid w:val="002539F9"/>
    <w:rsid w:val="00253D47"/>
    <w:rsid w:val="002545AB"/>
    <w:rsid w:val="00254667"/>
    <w:rsid w:val="0025469B"/>
    <w:rsid w:val="00254DAC"/>
    <w:rsid w:val="00254F00"/>
    <w:rsid w:val="00255101"/>
    <w:rsid w:val="002553EF"/>
    <w:rsid w:val="0025556C"/>
    <w:rsid w:val="002555A1"/>
    <w:rsid w:val="002557F9"/>
    <w:rsid w:val="002559EF"/>
    <w:rsid w:val="0025637F"/>
    <w:rsid w:val="002567D3"/>
    <w:rsid w:val="00256C8E"/>
    <w:rsid w:val="00256E58"/>
    <w:rsid w:val="002572C6"/>
    <w:rsid w:val="00257669"/>
    <w:rsid w:val="00257837"/>
    <w:rsid w:val="00257A26"/>
    <w:rsid w:val="00257C58"/>
    <w:rsid w:val="002605A7"/>
    <w:rsid w:val="00260847"/>
    <w:rsid w:val="00261653"/>
    <w:rsid w:val="0026189C"/>
    <w:rsid w:val="00262391"/>
    <w:rsid w:val="0026368D"/>
    <w:rsid w:val="00263A27"/>
    <w:rsid w:val="0026424C"/>
    <w:rsid w:val="002642FC"/>
    <w:rsid w:val="0026495C"/>
    <w:rsid w:val="0026544D"/>
    <w:rsid w:val="00266AF5"/>
    <w:rsid w:val="00266D04"/>
    <w:rsid w:val="002672C4"/>
    <w:rsid w:val="002674FC"/>
    <w:rsid w:val="00267867"/>
    <w:rsid w:val="002701ED"/>
    <w:rsid w:val="0027076E"/>
    <w:rsid w:val="002715E5"/>
    <w:rsid w:val="00271642"/>
    <w:rsid w:val="00271A30"/>
    <w:rsid w:val="00271AF4"/>
    <w:rsid w:val="00272747"/>
    <w:rsid w:val="00272812"/>
    <w:rsid w:val="00273557"/>
    <w:rsid w:val="00273AF1"/>
    <w:rsid w:val="00273EB1"/>
    <w:rsid w:val="002742C4"/>
    <w:rsid w:val="002744A6"/>
    <w:rsid w:val="0027478C"/>
    <w:rsid w:val="002747FE"/>
    <w:rsid w:val="002749F4"/>
    <w:rsid w:val="00274CEA"/>
    <w:rsid w:val="00275BE1"/>
    <w:rsid w:val="002763DB"/>
    <w:rsid w:val="00276E87"/>
    <w:rsid w:val="00277842"/>
    <w:rsid w:val="00277E99"/>
    <w:rsid w:val="00280101"/>
    <w:rsid w:val="00280569"/>
    <w:rsid w:val="0028159B"/>
    <w:rsid w:val="002822BC"/>
    <w:rsid w:val="00283343"/>
    <w:rsid w:val="00283475"/>
    <w:rsid w:val="002841B8"/>
    <w:rsid w:val="002843A3"/>
    <w:rsid w:val="00284488"/>
    <w:rsid w:val="0028457F"/>
    <w:rsid w:val="00284996"/>
    <w:rsid w:val="00284D15"/>
    <w:rsid w:val="00285044"/>
    <w:rsid w:val="002852B7"/>
    <w:rsid w:val="0028534D"/>
    <w:rsid w:val="00285594"/>
    <w:rsid w:val="00285654"/>
    <w:rsid w:val="00285B0D"/>
    <w:rsid w:val="00285BC7"/>
    <w:rsid w:val="0028636E"/>
    <w:rsid w:val="00286740"/>
    <w:rsid w:val="00286AC4"/>
    <w:rsid w:val="00286C29"/>
    <w:rsid w:val="00287F6C"/>
    <w:rsid w:val="00290163"/>
    <w:rsid w:val="002907AE"/>
    <w:rsid w:val="00290876"/>
    <w:rsid w:val="00290C55"/>
    <w:rsid w:val="00290EE6"/>
    <w:rsid w:val="00292884"/>
    <w:rsid w:val="00292971"/>
    <w:rsid w:val="00292EC1"/>
    <w:rsid w:val="00293051"/>
    <w:rsid w:val="00293385"/>
    <w:rsid w:val="0029338A"/>
    <w:rsid w:val="002939EB"/>
    <w:rsid w:val="00293D1E"/>
    <w:rsid w:val="00294726"/>
    <w:rsid w:val="0029481A"/>
    <w:rsid w:val="00294B02"/>
    <w:rsid w:val="00294D83"/>
    <w:rsid w:val="00295917"/>
    <w:rsid w:val="0029593D"/>
    <w:rsid w:val="00295C97"/>
    <w:rsid w:val="002961BB"/>
    <w:rsid w:val="002968B1"/>
    <w:rsid w:val="002968FE"/>
    <w:rsid w:val="00296F46"/>
    <w:rsid w:val="0029717D"/>
    <w:rsid w:val="00297C07"/>
    <w:rsid w:val="002A1277"/>
    <w:rsid w:val="002A1772"/>
    <w:rsid w:val="002A2161"/>
    <w:rsid w:val="002A29F2"/>
    <w:rsid w:val="002A3BD8"/>
    <w:rsid w:val="002A3C2E"/>
    <w:rsid w:val="002A4706"/>
    <w:rsid w:val="002A4845"/>
    <w:rsid w:val="002A50A9"/>
    <w:rsid w:val="002A5F57"/>
    <w:rsid w:val="002A6CBF"/>
    <w:rsid w:val="002A6D63"/>
    <w:rsid w:val="002A70B7"/>
    <w:rsid w:val="002A748F"/>
    <w:rsid w:val="002B02E8"/>
    <w:rsid w:val="002B0384"/>
    <w:rsid w:val="002B1377"/>
    <w:rsid w:val="002B14CD"/>
    <w:rsid w:val="002B2304"/>
    <w:rsid w:val="002B25B2"/>
    <w:rsid w:val="002B25DE"/>
    <w:rsid w:val="002B2668"/>
    <w:rsid w:val="002B2B8E"/>
    <w:rsid w:val="002B2EF8"/>
    <w:rsid w:val="002B323C"/>
    <w:rsid w:val="002B3244"/>
    <w:rsid w:val="002B3E0D"/>
    <w:rsid w:val="002B3E89"/>
    <w:rsid w:val="002B484C"/>
    <w:rsid w:val="002B4D3E"/>
    <w:rsid w:val="002B5C17"/>
    <w:rsid w:val="002B5D34"/>
    <w:rsid w:val="002B6133"/>
    <w:rsid w:val="002B695A"/>
    <w:rsid w:val="002B6BB4"/>
    <w:rsid w:val="002B73E2"/>
    <w:rsid w:val="002B7904"/>
    <w:rsid w:val="002B79DA"/>
    <w:rsid w:val="002B7F97"/>
    <w:rsid w:val="002C0110"/>
    <w:rsid w:val="002C0304"/>
    <w:rsid w:val="002C079D"/>
    <w:rsid w:val="002C096A"/>
    <w:rsid w:val="002C12D6"/>
    <w:rsid w:val="002C12D9"/>
    <w:rsid w:val="002C18B7"/>
    <w:rsid w:val="002C1B26"/>
    <w:rsid w:val="002C1F28"/>
    <w:rsid w:val="002C23BF"/>
    <w:rsid w:val="002C24D7"/>
    <w:rsid w:val="002C286D"/>
    <w:rsid w:val="002C2CAC"/>
    <w:rsid w:val="002C2F4E"/>
    <w:rsid w:val="002C30BA"/>
    <w:rsid w:val="002C33B7"/>
    <w:rsid w:val="002C3578"/>
    <w:rsid w:val="002C3AD2"/>
    <w:rsid w:val="002C3ED6"/>
    <w:rsid w:val="002C418B"/>
    <w:rsid w:val="002C4201"/>
    <w:rsid w:val="002C468E"/>
    <w:rsid w:val="002C4D33"/>
    <w:rsid w:val="002C522A"/>
    <w:rsid w:val="002C6075"/>
    <w:rsid w:val="002C64F3"/>
    <w:rsid w:val="002C6996"/>
    <w:rsid w:val="002C69F6"/>
    <w:rsid w:val="002C6C5B"/>
    <w:rsid w:val="002C7537"/>
    <w:rsid w:val="002D00C7"/>
    <w:rsid w:val="002D030C"/>
    <w:rsid w:val="002D0399"/>
    <w:rsid w:val="002D0882"/>
    <w:rsid w:val="002D1067"/>
    <w:rsid w:val="002D11C6"/>
    <w:rsid w:val="002D1252"/>
    <w:rsid w:val="002D17E3"/>
    <w:rsid w:val="002D2739"/>
    <w:rsid w:val="002D2B07"/>
    <w:rsid w:val="002D2DC4"/>
    <w:rsid w:val="002D2FA5"/>
    <w:rsid w:val="002D3AE3"/>
    <w:rsid w:val="002D3F6E"/>
    <w:rsid w:val="002D3FB5"/>
    <w:rsid w:val="002D4760"/>
    <w:rsid w:val="002D516B"/>
    <w:rsid w:val="002D51C1"/>
    <w:rsid w:val="002D527A"/>
    <w:rsid w:val="002D5811"/>
    <w:rsid w:val="002D5FBC"/>
    <w:rsid w:val="002D6978"/>
    <w:rsid w:val="002D6A0C"/>
    <w:rsid w:val="002D6A9D"/>
    <w:rsid w:val="002D72DE"/>
    <w:rsid w:val="002D7651"/>
    <w:rsid w:val="002D7BAD"/>
    <w:rsid w:val="002D7BFC"/>
    <w:rsid w:val="002E029F"/>
    <w:rsid w:val="002E090F"/>
    <w:rsid w:val="002E0E3A"/>
    <w:rsid w:val="002E11C3"/>
    <w:rsid w:val="002E130D"/>
    <w:rsid w:val="002E1ADD"/>
    <w:rsid w:val="002E1AFB"/>
    <w:rsid w:val="002E1EDB"/>
    <w:rsid w:val="002E20E4"/>
    <w:rsid w:val="002E2255"/>
    <w:rsid w:val="002E2470"/>
    <w:rsid w:val="002E2C27"/>
    <w:rsid w:val="002E2D64"/>
    <w:rsid w:val="002E2F63"/>
    <w:rsid w:val="002E339C"/>
    <w:rsid w:val="002E4150"/>
    <w:rsid w:val="002E43D0"/>
    <w:rsid w:val="002E49A6"/>
    <w:rsid w:val="002E5EF1"/>
    <w:rsid w:val="002E6EAB"/>
    <w:rsid w:val="002E7799"/>
    <w:rsid w:val="002E7F57"/>
    <w:rsid w:val="002F013B"/>
    <w:rsid w:val="002F03EF"/>
    <w:rsid w:val="002F0511"/>
    <w:rsid w:val="002F0637"/>
    <w:rsid w:val="002F094A"/>
    <w:rsid w:val="002F0E98"/>
    <w:rsid w:val="002F1617"/>
    <w:rsid w:val="002F209C"/>
    <w:rsid w:val="002F2AA4"/>
    <w:rsid w:val="002F37A8"/>
    <w:rsid w:val="002F37D0"/>
    <w:rsid w:val="002F3E25"/>
    <w:rsid w:val="002F4243"/>
    <w:rsid w:val="002F4E32"/>
    <w:rsid w:val="002F5021"/>
    <w:rsid w:val="002F50A5"/>
    <w:rsid w:val="002F50FC"/>
    <w:rsid w:val="002F5497"/>
    <w:rsid w:val="002F56B6"/>
    <w:rsid w:val="002F6391"/>
    <w:rsid w:val="002F68BA"/>
    <w:rsid w:val="002F6AC3"/>
    <w:rsid w:val="002F6D4A"/>
    <w:rsid w:val="002F748D"/>
    <w:rsid w:val="002F781A"/>
    <w:rsid w:val="002F7EAC"/>
    <w:rsid w:val="00300566"/>
    <w:rsid w:val="003006DA"/>
    <w:rsid w:val="0030071E"/>
    <w:rsid w:val="00300C77"/>
    <w:rsid w:val="00300DE1"/>
    <w:rsid w:val="00300E8B"/>
    <w:rsid w:val="0030108C"/>
    <w:rsid w:val="003015BA"/>
    <w:rsid w:val="00301C17"/>
    <w:rsid w:val="00301E6A"/>
    <w:rsid w:val="00301FBA"/>
    <w:rsid w:val="00302CD2"/>
    <w:rsid w:val="00302D9D"/>
    <w:rsid w:val="0030300D"/>
    <w:rsid w:val="00303208"/>
    <w:rsid w:val="00303427"/>
    <w:rsid w:val="0030350B"/>
    <w:rsid w:val="00303543"/>
    <w:rsid w:val="00303716"/>
    <w:rsid w:val="00303B0B"/>
    <w:rsid w:val="00303BB4"/>
    <w:rsid w:val="00304129"/>
    <w:rsid w:val="00304177"/>
    <w:rsid w:val="00304DDA"/>
    <w:rsid w:val="00304E0B"/>
    <w:rsid w:val="00304EE1"/>
    <w:rsid w:val="00305CF4"/>
    <w:rsid w:val="00305F56"/>
    <w:rsid w:val="003064E1"/>
    <w:rsid w:val="00306DB1"/>
    <w:rsid w:val="00307BFD"/>
    <w:rsid w:val="00307CF9"/>
    <w:rsid w:val="00307E09"/>
    <w:rsid w:val="00307E4B"/>
    <w:rsid w:val="00307F21"/>
    <w:rsid w:val="00310430"/>
    <w:rsid w:val="003114FA"/>
    <w:rsid w:val="00311BEA"/>
    <w:rsid w:val="00311D79"/>
    <w:rsid w:val="00312B38"/>
    <w:rsid w:val="00313799"/>
    <w:rsid w:val="00313907"/>
    <w:rsid w:val="00313A44"/>
    <w:rsid w:val="00313E37"/>
    <w:rsid w:val="00314D1E"/>
    <w:rsid w:val="00315073"/>
    <w:rsid w:val="00315241"/>
    <w:rsid w:val="003153BB"/>
    <w:rsid w:val="003159D9"/>
    <w:rsid w:val="0031729F"/>
    <w:rsid w:val="003174F8"/>
    <w:rsid w:val="003175E9"/>
    <w:rsid w:val="00317FD8"/>
    <w:rsid w:val="003204FD"/>
    <w:rsid w:val="00320B2A"/>
    <w:rsid w:val="00320F20"/>
    <w:rsid w:val="00320F88"/>
    <w:rsid w:val="00321558"/>
    <w:rsid w:val="00321743"/>
    <w:rsid w:val="00322176"/>
    <w:rsid w:val="00322BE4"/>
    <w:rsid w:val="00322F9A"/>
    <w:rsid w:val="00322FA8"/>
    <w:rsid w:val="0032450A"/>
    <w:rsid w:val="00324DD1"/>
    <w:rsid w:val="00325472"/>
    <w:rsid w:val="00325769"/>
    <w:rsid w:val="00325AC3"/>
    <w:rsid w:val="00326155"/>
    <w:rsid w:val="0032616B"/>
    <w:rsid w:val="00326B55"/>
    <w:rsid w:val="00327425"/>
    <w:rsid w:val="00330509"/>
    <w:rsid w:val="003308A9"/>
    <w:rsid w:val="00330C3B"/>
    <w:rsid w:val="0033105F"/>
    <w:rsid w:val="003310A7"/>
    <w:rsid w:val="003311C5"/>
    <w:rsid w:val="00331432"/>
    <w:rsid w:val="00331492"/>
    <w:rsid w:val="00331D03"/>
    <w:rsid w:val="00332972"/>
    <w:rsid w:val="0033309B"/>
    <w:rsid w:val="00333789"/>
    <w:rsid w:val="00333B5E"/>
    <w:rsid w:val="00334087"/>
    <w:rsid w:val="0033470F"/>
    <w:rsid w:val="00334766"/>
    <w:rsid w:val="00334B36"/>
    <w:rsid w:val="00334E1E"/>
    <w:rsid w:val="003352CE"/>
    <w:rsid w:val="00335348"/>
    <w:rsid w:val="00335F25"/>
    <w:rsid w:val="00336631"/>
    <w:rsid w:val="003368A9"/>
    <w:rsid w:val="00337244"/>
    <w:rsid w:val="00337793"/>
    <w:rsid w:val="00337851"/>
    <w:rsid w:val="00337863"/>
    <w:rsid w:val="00337CA7"/>
    <w:rsid w:val="00340786"/>
    <w:rsid w:val="00340CE0"/>
    <w:rsid w:val="003418A7"/>
    <w:rsid w:val="00342205"/>
    <w:rsid w:val="003423EB"/>
    <w:rsid w:val="003429F1"/>
    <w:rsid w:val="00342B71"/>
    <w:rsid w:val="00342EDD"/>
    <w:rsid w:val="0034309B"/>
    <w:rsid w:val="00343737"/>
    <w:rsid w:val="00344117"/>
    <w:rsid w:val="00344353"/>
    <w:rsid w:val="00344B38"/>
    <w:rsid w:val="00344F04"/>
    <w:rsid w:val="0034521D"/>
    <w:rsid w:val="003459AC"/>
    <w:rsid w:val="00345FA1"/>
    <w:rsid w:val="003464BD"/>
    <w:rsid w:val="00346D46"/>
    <w:rsid w:val="00346E32"/>
    <w:rsid w:val="0034755B"/>
    <w:rsid w:val="00347A59"/>
    <w:rsid w:val="00347EC1"/>
    <w:rsid w:val="00350336"/>
    <w:rsid w:val="00350EF3"/>
    <w:rsid w:val="00351513"/>
    <w:rsid w:val="00351BD9"/>
    <w:rsid w:val="00352C2B"/>
    <w:rsid w:val="00352F76"/>
    <w:rsid w:val="0035338B"/>
    <w:rsid w:val="003533A4"/>
    <w:rsid w:val="0035368F"/>
    <w:rsid w:val="00354E8D"/>
    <w:rsid w:val="0035525B"/>
    <w:rsid w:val="003554A7"/>
    <w:rsid w:val="00355C2D"/>
    <w:rsid w:val="00355C89"/>
    <w:rsid w:val="00356698"/>
    <w:rsid w:val="00356CE8"/>
    <w:rsid w:val="00357974"/>
    <w:rsid w:val="003579F2"/>
    <w:rsid w:val="003579F9"/>
    <w:rsid w:val="00360058"/>
    <w:rsid w:val="00360470"/>
    <w:rsid w:val="00360BE6"/>
    <w:rsid w:val="00360D78"/>
    <w:rsid w:val="00361524"/>
    <w:rsid w:val="003615A7"/>
    <w:rsid w:val="00361EAF"/>
    <w:rsid w:val="00361FC7"/>
    <w:rsid w:val="00362463"/>
    <w:rsid w:val="0036257D"/>
    <w:rsid w:val="003628B0"/>
    <w:rsid w:val="00363014"/>
    <w:rsid w:val="0036316C"/>
    <w:rsid w:val="00363315"/>
    <w:rsid w:val="0036333F"/>
    <w:rsid w:val="003636BA"/>
    <w:rsid w:val="00363C1A"/>
    <w:rsid w:val="00363E99"/>
    <w:rsid w:val="00364563"/>
    <w:rsid w:val="00364580"/>
    <w:rsid w:val="00364D6E"/>
    <w:rsid w:val="00365690"/>
    <w:rsid w:val="0036577B"/>
    <w:rsid w:val="00365959"/>
    <w:rsid w:val="00366ACD"/>
    <w:rsid w:val="00367033"/>
    <w:rsid w:val="003674D9"/>
    <w:rsid w:val="00367850"/>
    <w:rsid w:val="0037017F"/>
    <w:rsid w:val="00370192"/>
    <w:rsid w:val="00370377"/>
    <w:rsid w:val="00370CE8"/>
    <w:rsid w:val="00371321"/>
    <w:rsid w:val="00371384"/>
    <w:rsid w:val="00371EEF"/>
    <w:rsid w:val="00372965"/>
    <w:rsid w:val="00372C6F"/>
    <w:rsid w:val="00373A0B"/>
    <w:rsid w:val="00373E32"/>
    <w:rsid w:val="0037459F"/>
    <w:rsid w:val="003748CB"/>
    <w:rsid w:val="00374CB3"/>
    <w:rsid w:val="00375136"/>
    <w:rsid w:val="00375A02"/>
    <w:rsid w:val="00375C31"/>
    <w:rsid w:val="00376467"/>
    <w:rsid w:val="00376A38"/>
    <w:rsid w:val="00377E04"/>
    <w:rsid w:val="00377FA0"/>
    <w:rsid w:val="00380210"/>
    <w:rsid w:val="00380F3E"/>
    <w:rsid w:val="00380F49"/>
    <w:rsid w:val="003810AB"/>
    <w:rsid w:val="00381745"/>
    <w:rsid w:val="00381764"/>
    <w:rsid w:val="00382167"/>
    <w:rsid w:val="003823D5"/>
    <w:rsid w:val="0038363F"/>
    <w:rsid w:val="00383E33"/>
    <w:rsid w:val="003849E0"/>
    <w:rsid w:val="00384DDA"/>
    <w:rsid w:val="00385316"/>
    <w:rsid w:val="00385328"/>
    <w:rsid w:val="003854E9"/>
    <w:rsid w:val="0038577D"/>
    <w:rsid w:val="00385BBA"/>
    <w:rsid w:val="00385C8A"/>
    <w:rsid w:val="00386827"/>
    <w:rsid w:val="00386BAA"/>
    <w:rsid w:val="0038746F"/>
    <w:rsid w:val="003878ED"/>
    <w:rsid w:val="00387FF5"/>
    <w:rsid w:val="00390575"/>
    <w:rsid w:val="003906CD"/>
    <w:rsid w:val="00391125"/>
    <w:rsid w:val="0039136E"/>
    <w:rsid w:val="00391F0E"/>
    <w:rsid w:val="003922B1"/>
    <w:rsid w:val="0039296F"/>
    <w:rsid w:val="00392AFB"/>
    <w:rsid w:val="003930B5"/>
    <w:rsid w:val="0039334A"/>
    <w:rsid w:val="00393394"/>
    <w:rsid w:val="00393468"/>
    <w:rsid w:val="00393585"/>
    <w:rsid w:val="003935B9"/>
    <w:rsid w:val="00395CCF"/>
    <w:rsid w:val="00396338"/>
    <w:rsid w:val="00396749"/>
    <w:rsid w:val="003967B0"/>
    <w:rsid w:val="00396958"/>
    <w:rsid w:val="00396B1E"/>
    <w:rsid w:val="00396BCA"/>
    <w:rsid w:val="00396E17"/>
    <w:rsid w:val="0039723A"/>
    <w:rsid w:val="00397280"/>
    <w:rsid w:val="003973DD"/>
    <w:rsid w:val="003A06C5"/>
    <w:rsid w:val="003A0890"/>
    <w:rsid w:val="003A0A29"/>
    <w:rsid w:val="003A0C97"/>
    <w:rsid w:val="003A1AF7"/>
    <w:rsid w:val="003A221F"/>
    <w:rsid w:val="003A257E"/>
    <w:rsid w:val="003A25F4"/>
    <w:rsid w:val="003A295A"/>
    <w:rsid w:val="003A3159"/>
    <w:rsid w:val="003A39C7"/>
    <w:rsid w:val="003A3A4D"/>
    <w:rsid w:val="003A3AC4"/>
    <w:rsid w:val="003A3D0E"/>
    <w:rsid w:val="003A3D9A"/>
    <w:rsid w:val="003A409D"/>
    <w:rsid w:val="003A4129"/>
    <w:rsid w:val="003A420E"/>
    <w:rsid w:val="003A4801"/>
    <w:rsid w:val="003A48A3"/>
    <w:rsid w:val="003A4AAF"/>
    <w:rsid w:val="003A4B2E"/>
    <w:rsid w:val="003A54BC"/>
    <w:rsid w:val="003A5737"/>
    <w:rsid w:val="003A589B"/>
    <w:rsid w:val="003A58AF"/>
    <w:rsid w:val="003A7236"/>
    <w:rsid w:val="003A7911"/>
    <w:rsid w:val="003B019B"/>
    <w:rsid w:val="003B01E4"/>
    <w:rsid w:val="003B088E"/>
    <w:rsid w:val="003B1014"/>
    <w:rsid w:val="003B1EA1"/>
    <w:rsid w:val="003B1F25"/>
    <w:rsid w:val="003B27DF"/>
    <w:rsid w:val="003B2E07"/>
    <w:rsid w:val="003B3951"/>
    <w:rsid w:val="003B3BDF"/>
    <w:rsid w:val="003B44AF"/>
    <w:rsid w:val="003B46C7"/>
    <w:rsid w:val="003B4719"/>
    <w:rsid w:val="003B4787"/>
    <w:rsid w:val="003B4F0C"/>
    <w:rsid w:val="003B50BA"/>
    <w:rsid w:val="003B5452"/>
    <w:rsid w:val="003B5717"/>
    <w:rsid w:val="003B5B2E"/>
    <w:rsid w:val="003B5CAF"/>
    <w:rsid w:val="003B5EA5"/>
    <w:rsid w:val="003B6166"/>
    <w:rsid w:val="003B64E5"/>
    <w:rsid w:val="003B6534"/>
    <w:rsid w:val="003B6D41"/>
    <w:rsid w:val="003B76CE"/>
    <w:rsid w:val="003B7749"/>
    <w:rsid w:val="003B7C7B"/>
    <w:rsid w:val="003C0E58"/>
    <w:rsid w:val="003C14B1"/>
    <w:rsid w:val="003C1591"/>
    <w:rsid w:val="003C199E"/>
    <w:rsid w:val="003C2280"/>
    <w:rsid w:val="003C2AA7"/>
    <w:rsid w:val="003C2F47"/>
    <w:rsid w:val="003C3846"/>
    <w:rsid w:val="003C44D1"/>
    <w:rsid w:val="003C4733"/>
    <w:rsid w:val="003C4F06"/>
    <w:rsid w:val="003C5A14"/>
    <w:rsid w:val="003C5D9C"/>
    <w:rsid w:val="003C5DE7"/>
    <w:rsid w:val="003C6080"/>
    <w:rsid w:val="003C6592"/>
    <w:rsid w:val="003C667C"/>
    <w:rsid w:val="003C7335"/>
    <w:rsid w:val="003C7651"/>
    <w:rsid w:val="003C7879"/>
    <w:rsid w:val="003C79DB"/>
    <w:rsid w:val="003D029E"/>
    <w:rsid w:val="003D067C"/>
    <w:rsid w:val="003D0906"/>
    <w:rsid w:val="003D13D8"/>
    <w:rsid w:val="003D15B7"/>
    <w:rsid w:val="003D15ED"/>
    <w:rsid w:val="003D1608"/>
    <w:rsid w:val="003D20E1"/>
    <w:rsid w:val="003D2486"/>
    <w:rsid w:val="003D295A"/>
    <w:rsid w:val="003D2A35"/>
    <w:rsid w:val="003D321B"/>
    <w:rsid w:val="003D35FA"/>
    <w:rsid w:val="003D39EF"/>
    <w:rsid w:val="003D41BA"/>
    <w:rsid w:val="003D41C7"/>
    <w:rsid w:val="003D420B"/>
    <w:rsid w:val="003D45E1"/>
    <w:rsid w:val="003D4CC1"/>
    <w:rsid w:val="003D529E"/>
    <w:rsid w:val="003D5427"/>
    <w:rsid w:val="003D6474"/>
    <w:rsid w:val="003D664F"/>
    <w:rsid w:val="003D6670"/>
    <w:rsid w:val="003D6A09"/>
    <w:rsid w:val="003D6F67"/>
    <w:rsid w:val="003D707F"/>
    <w:rsid w:val="003D71D5"/>
    <w:rsid w:val="003D74EF"/>
    <w:rsid w:val="003D7671"/>
    <w:rsid w:val="003D7C9F"/>
    <w:rsid w:val="003E0CAF"/>
    <w:rsid w:val="003E1122"/>
    <w:rsid w:val="003E12C9"/>
    <w:rsid w:val="003E1604"/>
    <w:rsid w:val="003E1766"/>
    <w:rsid w:val="003E18F5"/>
    <w:rsid w:val="003E1A61"/>
    <w:rsid w:val="003E21C5"/>
    <w:rsid w:val="003E279B"/>
    <w:rsid w:val="003E2AB7"/>
    <w:rsid w:val="003E2F36"/>
    <w:rsid w:val="003E2FB3"/>
    <w:rsid w:val="003E37A0"/>
    <w:rsid w:val="003E393E"/>
    <w:rsid w:val="003E3CFE"/>
    <w:rsid w:val="003E4066"/>
    <w:rsid w:val="003E4AE0"/>
    <w:rsid w:val="003E507E"/>
    <w:rsid w:val="003E5394"/>
    <w:rsid w:val="003E678B"/>
    <w:rsid w:val="003E6CCA"/>
    <w:rsid w:val="003E6D93"/>
    <w:rsid w:val="003E73AA"/>
    <w:rsid w:val="003E76C6"/>
    <w:rsid w:val="003F0186"/>
    <w:rsid w:val="003F038A"/>
    <w:rsid w:val="003F0555"/>
    <w:rsid w:val="003F09E9"/>
    <w:rsid w:val="003F0D0F"/>
    <w:rsid w:val="003F11D8"/>
    <w:rsid w:val="003F1222"/>
    <w:rsid w:val="003F1303"/>
    <w:rsid w:val="003F1AAC"/>
    <w:rsid w:val="003F1C6D"/>
    <w:rsid w:val="003F1D12"/>
    <w:rsid w:val="003F1E3F"/>
    <w:rsid w:val="003F1ECD"/>
    <w:rsid w:val="003F2C12"/>
    <w:rsid w:val="003F3195"/>
    <w:rsid w:val="003F32A8"/>
    <w:rsid w:val="003F34C4"/>
    <w:rsid w:val="003F3673"/>
    <w:rsid w:val="003F3760"/>
    <w:rsid w:val="003F465F"/>
    <w:rsid w:val="003F47AB"/>
    <w:rsid w:val="003F47D1"/>
    <w:rsid w:val="003F4B6C"/>
    <w:rsid w:val="003F4DAF"/>
    <w:rsid w:val="003F5A39"/>
    <w:rsid w:val="003F6039"/>
    <w:rsid w:val="003F67D7"/>
    <w:rsid w:val="003F7144"/>
    <w:rsid w:val="003F74EF"/>
    <w:rsid w:val="00400195"/>
    <w:rsid w:val="00400758"/>
    <w:rsid w:val="00400A77"/>
    <w:rsid w:val="00401262"/>
    <w:rsid w:val="00401B6E"/>
    <w:rsid w:val="0040291B"/>
    <w:rsid w:val="00404123"/>
    <w:rsid w:val="00404B91"/>
    <w:rsid w:val="00404BB2"/>
    <w:rsid w:val="0040541F"/>
    <w:rsid w:val="00405424"/>
    <w:rsid w:val="00405C8A"/>
    <w:rsid w:val="00406889"/>
    <w:rsid w:val="00406DEE"/>
    <w:rsid w:val="00406E48"/>
    <w:rsid w:val="004072DC"/>
    <w:rsid w:val="00407C6C"/>
    <w:rsid w:val="00410081"/>
    <w:rsid w:val="00410502"/>
    <w:rsid w:val="00410971"/>
    <w:rsid w:val="00410E96"/>
    <w:rsid w:val="00410F5C"/>
    <w:rsid w:val="00411C1D"/>
    <w:rsid w:val="00411FD7"/>
    <w:rsid w:val="0041242B"/>
    <w:rsid w:val="00412A04"/>
    <w:rsid w:val="00412C22"/>
    <w:rsid w:val="00412C54"/>
    <w:rsid w:val="00412DB7"/>
    <w:rsid w:val="0041307A"/>
    <w:rsid w:val="00413397"/>
    <w:rsid w:val="00413D02"/>
    <w:rsid w:val="00413DF7"/>
    <w:rsid w:val="004141EF"/>
    <w:rsid w:val="00414721"/>
    <w:rsid w:val="00414FC0"/>
    <w:rsid w:val="004150A8"/>
    <w:rsid w:val="004158E1"/>
    <w:rsid w:val="00415B20"/>
    <w:rsid w:val="00417B00"/>
    <w:rsid w:val="00417E9B"/>
    <w:rsid w:val="00417ECD"/>
    <w:rsid w:val="0042007E"/>
    <w:rsid w:val="00420473"/>
    <w:rsid w:val="00420694"/>
    <w:rsid w:val="00420703"/>
    <w:rsid w:val="0042081E"/>
    <w:rsid w:val="00420E0C"/>
    <w:rsid w:val="00421989"/>
    <w:rsid w:val="00421C02"/>
    <w:rsid w:val="00422163"/>
    <w:rsid w:val="00422B00"/>
    <w:rsid w:val="00422F9A"/>
    <w:rsid w:val="0042331A"/>
    <w:rsid w:val="00423479"/>
    <w:rsid w:val="00424B49"/>
    <w:rsid w:val="00424BC0"/>
    <w:rsid w:val="00424CD9"/>
    <w:rsid w:val="00424EE9"/>
    <w:rsid w:val="00425365"/>
    <w:rsid w:val="00425A9F"/>
    <w:rsid w:val="00425C82"/>
    <w:rsid w:val="004261C5"/>
    <w:rsid w:val="004267BD"/>
    <w:rsid w:val="00426D00"/>
    <w:rsid w:val="00427071"/>
    <w:rsid w:val="00427AC9"/>
    <w:rsid w:val="0043000A"/>
    <w:rsid w:val="0043033C"/>
    <w:rsid w:val="00430A35"/>
    <w:rsid w:val="00430E1F"/>
    <w:rsid w:val="004312F7"/>
    <w:rsid w:val="004318F3"/>
    <w:rsid w:val="0043232C"/>
    <w:rsid w:val="00432C14"/>
    <w:rsid w:val="00432D80"/>
    <w:rsid w:val="00432EC8"/>
    <w:rsid w:val="00433ACC"/>
    <w:rsid w:val="004341E9"/>
    <w:rsid w:val="00434323"/>
    <w:rsid w:val="00434720"/>
    <w:rsid w:val="00434C76"/>
    <w:rsid w:val="00434CA4"/>
    <w:rsid w:val="00434F97"/>
    <w:rsid w:val="00436AF2"/>
    <w:rsid w:val="00436D44"/>
    <w:rsid w:val="004379FE"/>
    <w:rsid w:val="00440C07"/>
    <w:rsid w:val="00440C48"/>
    <w:rsid w:val="00440D83"/>
    <w:rsid w:val="00440E3B"/>
    <w:rsid w:val="0044111B"/>
    <w:rsid w:val="00441985"/>
    <w:rsid w:val="00441E7C"/>
    <w:rsid w:val="00441F13"/>
    <w:rsid w:val="00441FF4"/>
    <w:rsid w:val="004437DC"/>
    <w:rsid w:val="00443A4C"/>
    <w:rsid w:val="004443AB"/>
    <w:rsid w:val="00444624"/>
    <w:rsid w:val="0044486A"/>
    <w:rsid w:val="004448DB"/>
    <w:rsid w:val="004450D0"/>
    <w:rsid w:val="00445D17"/>
    <w:rsid w:val="00445E64"/>
    <w:rsid w:val="00445F93"/>
    <w:rsid w:val="0044645D"/>
    <w:rsid w:val="00446746"/>
    <w:rsid w:val="00446778"/>
    <w:rsid w:val="00446AD1"/>
    <w:rsid w:val="004473E1"/>
    <w:rsid w:val="00447435"/>
    <w:rsid w:val="00447467"/>
    <w:rsid w:val="00447BE4"/>
    <w:rsid w:val="00447CC7"/>
    <w:rsid w:val="004501C4"/>
    <w:rsid w:val="0045342A"/>
    <w:rsid w:val="00453531"/>
    <w:rsid w:val="004539F3"/>
    <w:rsid w:val="00453E52"/>
    <w:rsid w:val="00453F61"/>
    <w:rsid w:val="00454F37"/>
    <w:rsid w:val="00455072"/>
    <w:rsid w:val="004551C5"/>
    <w:rsid w:val="0045536D"/>
    <w:rsid w:val="0045563A"/>
    <w:rsid w:val="00455C0B"/>
    <w:rsid w:val="0045615C"/>
    <w:rsid w:val="00456918"/>
    <w:rsid w:val="00457452"/>
    <w:rsid w:val="00457539"/>
    <w:rsid w:val="00460676"/>
    <w:rsid w:val="00460A2F"/>
    <w:rsid w:val="00460DFC"/>
    <w:rsid w:val="00461390"/>
    <w:rsid w:val="00462344"/>
    <w:rsid w:val="00462792"/>
    <w:rsid w:val="00462882"/>
    <w:rsid w:val="00462DBD"/>
    <w:rsid w:val="00462DFC"/>
    <w:rsid w:val="00462EC3"/>
    <w:rsid w:val="00463713"/>
    <w:rsid w:val="00464A54"/>
    <w:rsid w:val="00464B57"/>
    <w:rsid w:val="00464F15"/>
    <w:rsid w:val="00465E1C"/>
    <w:rsid w:val="00466288"/>
    <w:rsid w:val="00466633"/>
    <w:rsid w:val="00466917"/>
    <w:rsid w:val="00466A68"/>
    <w:rsid w:val="00466E1F"/>
    <w:rsid w:val="00467A07"/>
    <w:rsid w:val="00467DDF"/>
    <w:rsid w:val="00467E6F"/>
    <w:rsid w:val="0047087C"/>
    <w:rsid w:val="004709CF"/>
    <w:rsid w:val="00470D72"/>
    <w:rsid w:val="004712BA"/>
    <w:rsid w:val="004715DB"/>
    <w:rsid w:val="004717FC"/>
    <w:rsid w:val="00471DBD"/>
    <w:rsid w:val="00472AD8"/>
    <w:rsid w:val="00472D57"/>
    <w:rsid w:val="0047319E"/>
    <w:rsid w:val="0047343D"/>
    <w:rsid w:val="004737AB"/>
    <w:rsid w:val="004737D2"/>
    <w:rsid w:val="00474861"/>
    <w:rsid w:val="004749D1"/>
    <w:rsid w:val="004750E2"/>
    <w:rsid w:val="004756A4"/>
    <w:rsid w:val="004757DD"/>
    <w:rsid w:val="00475A00"/>
    <w:rsid w:val="00475DE8"/>
    <w:rsid w:val="0047620B"/>
    <w:rsid w:val="004765C1"/>
    <w:rsid w:val="00476839"/>
    <w:rsid w:val="00477156"/>
    <w:rsid w:val="00477658"/>
    <w:rsid w:val="00477886"/>
    <w:rsid w:val="00480042"/>
    <w:rsid w:val="00480314"/>
    <w:rsid w:val="00480836"/>
    <w:rsid w:val="0048093C"/>
    <w:rsid w:val="00480C6C"/>
    <w:rsid w:val="004813F4"/>
    <w:rsid w:val="00481755"/>
    <w:rsid w:val="00481909"/>
    <w:rsid w:val="00483CE2"/>
    <w:rsid w:val="00483E6B"/>
    <w:rsid w:val="00483EBC"/>
    <w:rsid w:val="004842F9"/>
    <w:rsid w:val="004847E2"/>
    <w:rsid w:val="00484846"/>
    <w:rsid w:val="004856FD"/>
    <w:rsid w:val="0048633C"/>
    <w:rsid w:val="004865F3"/>
    <w:rsid w:val="00487507"/>
    <w:rsid w:val="00487663"/>
    <w:rsid w:val="004877CE"/>
    <w:rsid w:val="00487AA1"/>
    <w:rsid w:val="00487AA5"/>
    <w:rsid w:val="00487D87"/>
    <w:rsid w:val="0049089F"/>
    <w:rsid w:val="0049099D"/>
    <w:rsid w:val="00490E4A"/>
    <w:rsid w:val="004913DD"/>
    <w:rsid w:val="004914C9"/>
    <w:rsid w:val="00491AF2"/>
    <w:rsid w:val="00491DE1"/>
    <w:rsid w:val="00491FB0"/>
    <w:rsid w:val="00492077"/>
    <w:rsid w:val="004920BE"/>
    <w:rsid w:val="004923E3"/>
    <w:rsid w:val="00492652"/>
    <w:rsid w:val="00492788"/>
    <w:rsid w:val="004930C9"/>
    <w:rsid w:val="004937B0"/>
    <w:rsid w:val="00493F13"/>
    <w:rsid w:val="004954B5"/>
    <w:rsid w:val="00495607"/>
    <w:rsid w:val="00495774"/>
    <w:rsid w:val="00495F75"/>
    <w:rsid w:val="00496151"/>
    <w:rsid w:val="00496379"/>
    <w:rsid w:val="004968A8"/>
    <w:rsid w:val="004969CB"/>
    <w:rsid w:val="00496CB2"/>
    <w:rsid w:val="00497689"/>
    <w:rsid w:val="00497B8B"/>
    <w:rsid w:val="00497DD4"/>
    <w:rsid w:val="004A0111"/>
    <w:rsid w:val="004A0A58"/>
    <w:rsid w:val="004A0E9E"/>
    <w:rsid w:val="004A0FBA"/>
    <w:rsid w:val="004A1431"/>
    <w:rsid w:val="004A16AC"/>
    <w:rsid w:val="004A1B28"/>
    <w:rsid w:val="004A1C37"/>
    <w:rsid w:val="004A20D4"/>
    <w:rsid w:val="004A2BF9"/>
    <w:rsid w:val="004A2C3A"/>
    <w:rsid w:val="004A39B3"/>
    <w:rsid w:val="004A3A16"/>
    <w:rsid w:val="004A443B"/>
    <w:rsid w:val="004A5BC6"/>
    <w:rsid w:val="004A606E"/>
    <w:rsid w:val="004A6087"/>
    <w:rsid w:val="004A67DF"/>
    <w:rsid w:val="004A69F3"/>
    <w:rsid w:val="004A73AA"/>
    <w:rsid w:val="004B014F"/>
    <w:rsid w:val="004B0A99"/>
    <w:rsid w:val="004B0B98"/>
    <w:rsid w:val="004B14D9"/>
    <w:rsid w:val="004B20AC"/>
    <w:rsid w:val="004B2450"/>
    <w:rsid w:val="004B32FC"/>
    <w:rsid w:val="004B39AC"/>
    <w:rsid w:val="004B3CEC"/>
    <w:rsid w:val="004B4071"/>
    <w:rsid w:val="004B41CA"/>
    <w:rsid w:val="004B41D3"/>
    <w:rsid w:val="004B4228"/>
    <w:rsid w:val="004B4A3D"/>
    <w:rsid w:val="004B5ADF"/>
    <w:rsid w:val="004B5DC2"/>
    <w:rsid w:val="004B5EF3"/>
    <w:rsid w:val="004B66C4"/>
    <w:rsid w:val="004B67FA"/>
    <w:rsid w:val="004B702C"/>
    <w:rsid w:val="004B7411"/>
    <w:rsid w:val="004B74DA"/>
    <w:rsid w:val="004B7C2B"/>
    <w:rsid w:val="004C009E"/>
    <w:rsid w:val="004C0413"/>
    <w:rsid w:val="004C1CED"/>
    <w:rsid w:val="004C1F3B"/>
    <w:rsid w:val="004C2707"/>
    <w:rsid w:val="004C30CA"/>
    <w:rsid w:val="004C376F"/>
    <w:rsid w:val="004C431E"/>
    <w:rsid w:val="004C43B3"/>
    <w:rsid w:val="004C458A"/>
    <w:rsid w:val="004C4C7A"/>
    <w:rsid w:val="004C4E08"/>
    <w:rsid w:val="004C4F65"/>
    <w:rsid w:val="004C5DDA"/>
    <w:rsid w:val="004C5F4E"/>
    <w:rsid w:val="004C60F8"/>
    <w:rsid w:val="004C65C9"/>
    <w:rsid w:val="004C665A"/>
    <w:rsid w:val="004C6876"/>
    <w:rsid w:val="004C6BE5"/>
    <w:rsid w:val="004C6EDF"/>
    <w:rsid w:val="004C6F08"/>
    <w:rsid w:val="004C75F6"/>
    <w:rsid w:val="004C7DEF"/>
    <w:rsid w:val="004D0314"/>
    <w:rsid w:val="004D0661"/>
    <w:rsid w:val="004D0892"/>
    <w:rsid w:val="004D0E36"/>
    <w:rsid w:val="004D15F0"/>
    <w:rsid w:val="004D1AD3"/>
    <w:rsid w:val="004D311F"/>
    <w:rsid w:val="004D377C"/>
    <w:rsid w:val="004D47C1"/>
    <w:rsid w:val="004D4B5F"/>
    <w:rsid w:val="004D4EF0"/>
    <w:rsid w:val="004D52E2"/>
    <w:rsid w:val="004D54BD"/>
    <w:rsid w:val="004D6524"/>
    <w:rsid w:val="004D68BE"/>
    <w:rsid w:val="004D6BD9"/>
    <w:rsid w:val="004D6CE6"/>
    <w:rsid w:val="004D789A"/>
    <w:rsid w:val="004E0134"/>
    <w:rsid w:val="004E0695"/>
    <w:rsid w:val="004E081A"/>
    <w:rsid w:val="004E09DC"/>
    <w:rsid w:val="004E0F90"/>
    <w:rsid w:val="004E1162"/>
    <w:rsid w:val="004E13CC"/>
    <w:rsid w:val="004E1731"/>
    <w:rsid w:val="004E1D47"/>
    <w:rsid w:val="004E20A2"/>
    <w:rsid w:val="004E24CA"/>
    <w:rsid w:val="004E2A05"/>
    <w:rsid w:val="004E31BA"/>
    <w:rsid w:val="004E3872"/>
    <w:rsid w:val="004E3966"/>
    <w:rsid w:val="004E3AFB"/>
    <w:rsid w:val="004E3D62"/>
    <w:rsid w:val="004E3DBA"/>
    <w:rsid w:val="004E4295"/>
    <w:rsid w:val="004E43D2"/>
    <w:rsid w:val="004E45A3"/>
    <w:rsid w:val="004E4646"/>
    <w:rsid w:val="004E46DA"/>
    <w:rsid w:val="004E4E79"/>
    <w:rsid w:val="004E59B2"/>
    <w:rsid w:val="004E5B4A"/>
    <w:rsid w:val="004E5E56"/>
    <w:rsid w:val="004E604F"/>
    <w:rsid w:val="004E73E8"/>
    <w:rsid w:val="004E74EC"/>
    <w:rsid w:val="004E7BF8"/>
    <w:rsid w:val="004E7DEA"/>
    <w:rsid w:val="004F04CD"/>
    <w:rsid w:val="004F0914"/>
    <w:rsid w:val="004F141F"/>
    <w:rsid w:val="004F2000"/>
    <w:rsid w:val="004F2318"/>
    <w:rsid w:val="004F24FB"/>
    <w:rsid w:val="004F26ED"/>
    <w:rsid w:val="004F2F44"/>
    <w:rsid w:val="004F2F68"/>
    <w:rsid w:val="004F3176"/>
    <w:rsid w:val="004F3D32"/>
    <w:rsid w:val="004F4735"/>
    <w:rsid w:val="004F539C"/>
    <w:rsid w:val="004F5B6B"/>
    <w:rsid w:val="004F5B94"/>
    <w:rsid w:val="004F5BC4"/>
    <w:rsid w:val="004F63B9"/>
    <w:rsid w:val="004F709F"/>
    <w:rsid w:val="004F7288"/>
    <w:rsid w:val="004F767C"/>
    <w:rsid w:val="00500010"/>
    <w:rsid w:val="005001BC"/>
    <w:rsid w:val="00500BFA"/>
    <w:rsid w:val="00500DD6"/>
    <w:rsid w:val="005013E6"/>
    <w:rsid w:val="00501648"/>
    <w:rsid w:val="00501C83"/>
    <w:rsid w:val="005024E0"/>
    <w:rsid w:val="0050271A"/>
    <w:rsid w:val="00502E71"/>
    <w:rsid w:val="00503A88"/>
    <w:rsid w:val="005042A1"/>
    <w:rsid w:val="005042BC"/>
    <w:rsid w:val="00504C80"/>
    <w:rsid w:val="00505568"/>
    <w:rsid w:val="005061E5"/>
    <w:rsid w:val="005062B4"/>
    <w:rsid w:val="00506384"/>
    <w:rsid w:val="00506F08"/>
    <w:rsid w:val="005074FD"/>
    <w:rsid w:val="00507B6A"/>
    <w:rsid w:val="005104CF"/>
    <w:rsid w:val="00510E7E"/>
    <w:rsid w:val="00510F27"/>
    <w:rsid w:val="00511504"/>
    <w:rsid w:val="005119C0"/>
    <w:rsid w:val="00511B57"/>
    <w:rsid w:val="00511EE9"/>
    <w:rsid w:val="00513759"/>
    <w:rsid w:val="00514262"/>
    <w:rsid w:val="00514327"/>
    <w:rsid w:val="00514D54"/>
    <w:rsid w:val="00515531"/>
    <w:rsid w:val="005156C2"/>
    <w:rsid w:val="005159CD"/>
    <w:rsid w:val="00515C6E"/>
    <w:rsid w:val="005160E2"/>
    <w:rsid w:val="005161AD"/>
    <w:rsid w:val="00516BBA"/>
    <w:rsid w:val="00516CBD"/>
    <w:rsid w:val="00516EB9"/>
    <w:rsid w:val="005170B4"/>
    <w:rsid w:val="0051752A"/>
    <w:rsid w:val="00517CD0"/>
    <w:rsid w:val="00517F39"/>
    <w:rsid w:val="00517FBF"/>
    <w:rsid w:val="005211AC"/>
    <w:rsid w:val="0052127C"/>
    <w:rsid w:val="00521371"/>
    <w:rsid w:val="005214E2"/>
    <w:rsid w:val="00521531"/>
    <w:rsid w:val="00521617"/>
    <w:rsid w:val="005217E8"/>
    <w:rsid w:val="00522945"/>
    <w:rsid w:val="00523070"/>
    <w:rsid w:val="00523380"/>
    <w:rsid w:val="005239B7"/>
    <w:rsid w:val="00523BD2"/>
    <w:rsid w:val="00523CBE"/>
    <w:rsid w:val="00523FAF"/>
    <w:rsid w:val="00524146"/>
    <w:rsid w:val="00524713"/>
    <w:rsid w:val="00524C53"/>
    <w:rsid w:val="00524CB9"/>
    <w:rsid w:val="00524EA5"/>
    <w:rsid w:val="00525257"/>
    <w:rsid w:val="00525345"/>
    <w:rsid w:val="00525B14"/>
    <w:rsid w:val="00525B7E"/>
    <w:rsid w:val="00525D95"/>
    <w:rsid w:val="005260E6"/>
    <w:rsid w:val="0052633F"/>
    <w:rsid w:val="0052674D"/>
    <w:rsid w:val="00526B74"/>
    <w:rsid w:val="00526DB4"/>
    <w:rsid w:val="00527332"/>
    <w:rsid w:val="00527901"/>
    <w:rsid w:val="00527AC5"/>
    <w:rsid w:val="00527EDB"/>
    <w:rsid w:val="0053043B"/>
    <w:rsid w:val="00530B61"/>
    <w:rsid w:val="00530FDE"/>
    <w:rsid w:val="0053152B"/>
    <w:rsid w:val="00531CF0"/>
    <w:rsid w:val="00531E6A"/>
    <w:rsid w:val="0053288C"/>
    <w:rsid w:val="00532B67"/>
    <w:rsid w:val="00532B8D"/>
    <w:rsid w:val="00532E70"/>
    <w:rsid w:val="00533A1F"/>
    <w:rsid w:val="005342A1"/>
    <w:rsid w:val="00534CF1"/>
    <w:rsid w:val="0053580A"/>
    <w:rsid w:val="0053590B"/>
    <w:rsid w:val="00535D0B"/>
    <w:rsid w:val="0053607E"/>
    <w:rsid w:val="00536119"/>
    <w:rsid w:val="00536390"/>
    <w:rsid w:val="0053646A"/>
    <w:rsid w:val="0053674A"/>
    <w:rsid w:val="00536EB8"/>
    <w:rsid w:val="0053709A"/>
    <w:rsid w:val="00537407"/>
    <w:rsid w:val="00537415"/>
    <w:rsid w:val="00540B24"/>
    <w:rsid w:val="005415DB"/>
    <w:rsid w:val="005416BB"/>
    <w:rsid w:val="005418E2"/>
    <w:rsid w:val="00541A87"/>
    <w:rsid w:val="00541CC7"/>
    <w:rsid w:val="00541D3C"/>
    <w:rsid w:val="005420B3"/>
    <w:rsid w:val="00542445"/>
    <w:rsid w:val="005426DA"/>
    <w:rsid w:val="00542F7E"/>
    <w:rsid w:val="00543B10"/>
    <w:rsid w:val="00543FE7"/>
    <w:rsid w:val="00544D59"/>
    <w:rsid w:val="00545235"/>
    <w:rsid w:val="005452F5"/>
    <w:rsid w:val="00546054"/>
    <w:rsid w:val="005466DD"/>
    <w:rsid w:val="00546765"/>
    <w:rsid w:val="00546871"/>
    <w:rsid w:val="00547879"/>
    <w:rsid w:val="005479F1"/>
    <w:rsid w:val="00547B59"/>
    <w:rsid w:val="00547D22"/>
    <w:rsid w:val="00547E58"/>
    <w:rsid w:val="00547FD8"/>
    <w:rsid w:val="00550288"/>
    <w:rsid w:val="005509A3"/>
    <w:rsid w:val="00550D79"/>
    <w:rsid w:val="005517D2"/>
    <w:rsid w:val="00551840"/>
    <w:rsid w:val="00551AB3"/>
    <w:rsid w:val="00551D2E"/>
    <w:rsid w:val="00552143"/>
    <w:rsid w:val="005523C9"/>
    <w:rsid w:val="00552767"/>
    <w:rsid w:val="005529F1"/>
    <w:rsid w:val="00552DD1"/>
    <w:rsid w:val="00553279"/>
    <w:rsid w:val="0055332C"/>
    <w:rsid w:val="0055349C"/>
    <w:rsid w:val="005536CF"/>
    <w:rsid w:val="0055394B"/>
    <w:rsid w:val="00553C93"/>
    <w:rsid w:val="00553FA6"/>
    <w:rsid w:val="0055409C"/>
    <w:rsid w:val="00554124"/>
    <w:rsid w:val="0055413D"/>
    <w:rsid w:val="005544B3"/>
    <w:rsid w:val="005548D7"/>
    <w:rsid w:val="00554E40"/>
    <w:rsid w:val="00554F97"/>
    <w:rsid w:val="00554FAB"/>
    <w:rsid w:val="005550E1"/>
    <w:rsid w:val="005554C2"/>
    <w:rsid w:val="00555ED2"/>
    <w:rsid w:val="00556C0A"/>
    <w:rsid w:val="00557071"/>
    <w:rsid w:val="0055775F"/>
    <w:rsid w:val="00557B21"/>
    <w:rsid w:val="00557E0E"/>
    <w:rsid w:val="00557E48"/>
    <w:rsid w:val="00560BE0"/>
    <w:rsid w:val="00561891"/>
    <w:rsid w:val="00562A60"/>
    <w:rsid w:val="00562AE4"/>
    <w:rsid w:val="00564889"/>
    <w:rsid w:val="00564B27"/>
    <w:rsid w:val="00564C46"/>
    <w:rsid w:val="00564C9B"/>
    <w:rsid w:val="00564DE4"/>
    <w:rsid w:val="00564FA7"/>
    <w:rsid w:val="00565365"/>
    <w:rsid w:val="00565386"/>
    <w:rsid w:val="0056542C"/>
    <w:rsid w:val="00565A20"/>
    <w:rsid w:val="005661AF"/>
    <w:rsid w:val="005668D1"/>
    <w:rsid w:val="0056691D"/>
    <w:rsid w:val="00567355"/>
    <w:rsid w:val="005679D6"/>
    <w:rsid w:val="00567D22"/>
    <w:rsid w:val="00567F9E"/>
    <w:rsid w:val="00567FC1"/>
    <w:rsid w:val="0057013D"/>
    <w:rsid w:val="0057038E"/>
    <w:rsid w:val="00570A13"/>
    <w:rsid w:val="00570B11"/>
    <w:rsid w:val="005710C0"/>
    <w:rsid w:val="005718EC"/>
    <w:rsid w:val="00572252"/>
    <w:rsid w:val="00572297"/>
    <w:rsid w:val="00572482"/>
    <w:rsid w:val="005728D8"/>
    <w:rsid w:val="00572C96"/>
    <w:rsid w:val="00572D93"/>
    <w:rsid w:val="005730AB"/>
    <w:rsid w:val="005730C8"/>
    <w:rsid w:val="00573521"/>
    <w:rsid w:val="00573774"/>
    <w:rsid w:val="00573EAB"/>
    <w:rsid w:val="005748E5"/>
    <w:rsid w:val="005750C2"/>
    <w:rsid w:val="0057515A"/>
    <w:rsid w:val="00575BC1"/>
    <w:rsid w:val="005766AA"/>
    <w:rsid w:val="00576B32"/>
    <w:rsid w:val="00576DE4"/>
    <w:rsid w:val="00577129"/>
    <w:rsid w:val="005777C5"/>
    <w:rsid w:val="0058007A"/>
    <w:rsid w:val="00580CD8"/>
    <w:rsid w:val="00580F61"/>
    <w:rsid w:val="00580F93"/>
    <w:rsid w:val="00582103"/>
    <w:rsid w:val="005828F1"/>
    <w:rsid w:val="00582E34"/>
    <w:rsid w:val="005830F2"/>
    <w:rsid w:val="005835DA"/>
    <w:rsid w:val="00583C3B"/>
    <w:rsid w:val="005843CD"/>
    <w:rsid w:val="00585A77"/>
    <w:rsid w:val="00585ABE"/>
    <w:rsid w:val="00585DEE"/>
    <w:rsid w:val="00585E2D"/>
    <w:rsid w:val="00585F7D"/>
    <w:rsid w:val="00585FAF"/>
    <w:rsid w:val="0058606B"/>
    <w:rsid w:val="00586239"/>
    <w:rsid w:val="0058649D"/>
    <w:rsid w:val="005868D0"/>
    <w:rsid w:val="005875DB"/>
    <w:rsid w:val="00587993"/>
    <w:rsid w:val="00587B01"/>
    <w:rsid w:val="0059095A"/>
    <w:rsid w:val="00590BA5"/>
    <w:rsid w:val="00590F0B"/>
    <w:rsid w:val="005912B0"/>
    <w:rsid w:val="005914A0"/>
    <w:rsid w:val="00591C47"/>
    <w:rsid w:val="00591C73"/>
    <w:rsid w:val="005922B5"/>
    <w:rsid w:val="005923EC"/>
    <w:rsid w:val="00592725"/>
    <w:rsid w:val="005928C5"/>
    <w:rsid w:val="00592E63"/>
    <w:rsid w:val="00593297"/>
    <w:rsid w:val="005932E4"/>
    <w:rsid w:val="005935DA"/>
    <w:rsid w:val="0059381A"/>
    <w:rsid w:val="00593C34"/>
    <w:rsid w:val="00594879"/>
    <w:rsid w:val="005948A6"/>
    <w:rsid w:val="00594E6B"/>
    <w:rsid w:val="00595AB2"/>
    <w:rsid w:val="00596854"/>
    <w:rsid w:val="00597031"/>
    <w:rsid w:val="005978A0"/>
    <w:rsid w:val="00597A30"/>
    <w:rsid w:val="00597A74"/>
    <w:rsid w:val="00597E5D"/>
    <w:rsid w:val="00597FA3"/>
    <w:rsid w:val="005A0129"/>
    <w:rsid w:val="005A0EFB"/>
    <w:rsid w:val="005A1885"/>
    <w:rsid w:val="005A21BC"/>
    <w:rsid w:val="005A2571"/>
    <w:rsid w:val="005A3963"/>
    <w:rsid w:val="005A3CA5"/>
    <w:rsid w:val="005A44CA"/>
    <w:rsid w:val="005A4CCA"/>
    <w:rsid w:val="005A5A32"/>
    <w:rsid w:val="005A5C2A"/>
    <w:rsid w:val="005A5C9B"/>
    <w:rsid w:val="005A6AC4"/>
    <w:rsid w:val="005A6AE8"/>
    <w:rsid w:val="005A7007"/>
    <w:rsid w:val="005A72D7"/>
    <w:rsid w:val="005A73B5"/>
    <w:rsid w:val="005A7911"/>
    <w:rsid w:val="005A7BE4"/>
    <w:rsid w:val="005B035A"/>
    <w:rsid w:val="005B0468"/>
    <w:rsid w:val="005B0BCF"/>
    <w:rsid w:val="005B10D9"/>
    <w:rsid w:val="005B1589"/>
    <w:rsid w:val="005B197F"/>
    <w:rsid w:val="005B1C5D"/>
    <w:rsid w:val="005B2434"/>
    <w:rsid w:val="005B2748"/>
    <w:rsid w:val="005B2B3E"/>
    <w:rsid w:val="005B2C29"/>
    <w:rsid w:val="005B32E1"/>
    <w:rsid w:val="005B3401"/>
    <w:rsid w:val="005B3653"/>
    <w:rsid w:val="005B3700"/>
    <w:rsid w:val="005B372F"/>
    <w:rsid w:val="005B3AF5"/>
    <w:rsid w:val="005B4024"/>
    <w:rsid w:val="005B4374"/>
    <w:rsid w:val="005B4559"/>
    <w:rsid w:val="005B4689"/>
    <w:rsid w:val="005B5237"/>
    <w:rsid w:val="005B54E9"/>
    <w:rsid w:val="005B5773"/>
    <w:rsid w:val="005B5BCD"/>
    <w:rsid w:val="005B6604"/>
    <w:rsid w:val="005B6C1F"/>
    <w:rsid w:val="005B7212"/>
    <w:rsid w:val="005B77C7"/>
    <w:rsid w:val="005B79D1"/>
    <w:rsid w:val="005B7B29"/>
    <w:rsid w:val="005B7BF4"/>
    <w:rsid w:val="005C0F0A"/>
    <w:rsid w:val="005C109C"/>
    <w:rsid w:val="005C1D39"/>
    <w:rsid w:val="005C1D42"/>
    <w:rsid w:val="005C2439"/>
    <w:rsid w:val="005C2746"/>
    <w:rsid w:val="005C2B9F"/>
    <w:rsid w:val="005C2F7B"/>
    <w:rsid w:val="005C32A6"/>
    <w:rsid w:val="005C3FEE"/>
    <w:rsid w:val="005C4796"/>
    <w:rsid w:val="005C4E3B"/>
    <w:rsid w:val="005C4F64"/>
    <w:rsid w:val="005C5AE4"/>
    <w:rsid w:val="005C5C59"/>
    <w:rsid w:val="005C5E87"/>
    <w:rsid w:val="005C5F0E"/>
    <w:rsid w:val="005C60CB"/>
    <w:rsid w:val="005C70EE"/>
    <w:rsid w:val="005C71AA"/>
    <w:rsid w:val="005C73FB"/>
    <w:rsid w:val="005C7C55"/>
    <w:rsid w:val="005C7FB2"/>
    <w:rsid w:val="005D051A"/>
    <w:rsid w:val="005D08F9"/>
    <w:rsid w:val="005D0A1C"/>
    <w:rsid w:val="005D114B"/>
    <w:rsid w:val="005D2250"/>
    <w:rsid w:val="005D25CB"/>
    <w:rsid w:val="005D30DB"/>
    <w:rsid w:val="005D3640"/>
    <w:rsid w:val="005D3712"/>
    <w:rsid w:val="005D3747"/>
    <w:rsid w:val="005D4088"/>
    <w:rsid w:val="005D43CB"/>
    <w:rsid w:val="005D4951"/>
    <w:rsid w:val="005D6209"/>
    <w:rsid w:val="005D6312"/>
    <w:rsid w:val="005D707E"/>
    <w:rsid w:val="005D7574"/>
    <w:rsid w:val="005D7867"/>
    <w:rsid w:val="005D7EEA"/>
    <w:rsid w:val="005D7F1C"/>
    <w:rsid w:val="005E0670"/>
    <w:rsid w:val="005E0989"/>
    <w:rsid w:val="005E0A3F"/>
    <w:rsid w:val="005E0EE0"/>
    <w:rsid w:val="005E0F68"/>
    <w:rsid w:val="005E0FB0"/>
    <w:rsid w:val="005E12E0"/>
    <w:rsid w:val="005E1717"/>
    <w:rsid w:val="005E1A9F"/>
    <w:rsid w:val="005E1E33"/>
    <w:rsid w:val="005E2907"/>
    <w:rsid w:val="005E2B9E"/>
    <w:rsid w:val="005E3057"/>
    <w:rsid w:val="005E3375"/>
    <w:rsid w:val="005E3957"/>
    <w:rsid w:val="005E3EA2"/>
    <w:rsid w:val="005E42E3"/>
    <w:rsid w:val="005E5002"/>
    <w:rsid w:val="005E50DF"/>
    <w:rsid w:val="005E53B2"/>
    <w:rsid w:val="005E59EE"/>
    <w:rsid w:val="005E5D7B"/>
    <w:rsid w:val="005E6143"/>
    <w:rsid w:val="005E618A"/>
    <w:rsid w:val="005E6419"/>
    <w:rsid w:val="005E6475"/>
    <w:rsid w:val="005E670D"/>
    <w:rsid w:val="005E6B8D"/>
    <w:rsid w:val="005E6F26"/>
    <w:rsid w:val="005E7BE5"/>
    <w:rsid w:val="005E7E1E"/>
    <w:rsid w:val="005F0E48"/>
    <w:rsid w:val="005F120A"/>
    <w:rsid w:val="005F1247"/>
    <w:rsid w:val="005F12B4"/>
    <w:rsid w:val="005F162B"/>
    <w:rsid w:val="005F32FC"/>
    <w:rsid w:val="005F33C2"/>
    <w:rsid w:val="005F374A"/>
    <w:rsid w:val="005F3781"/>
    <w:rsid w:val="005F3C83"/>
    <w:rsid w:val="005F4066"/>
    <w:rsid w:val="005F411A"/>
    <w:rsid w:val="005F4EE3"/>
    <w:rsid w:val="005F5068"/>
    <w:rsid w:val="005F585D"/>
    <w:rsid w:val="005F5AD1"/>
    <w:rsid w:val="005F5F63"/>
    <w:rsid w:val="005F6133"/>
    <w:rsid w:val="005F65F9"/>
    <w:rsid w:val="005F661F"/>
    <w:rsid w:val="005F6BAB"/>
    <w:rsid w:val="005F6D10"/>
    <w:rsid w:val="005F6E29"/>
    <w:rsid w:val="005F7245"/>
    <w:rsid w:val="005F76BD"/>
    <w:rsid w:val="005F770F"/>
    <w:rsid w:val="006004E2"/>
    <w:rsid w:val="006006E5"/>
    <w:rsid w:val="00600C91"/>
    <w:rsid w:val="00601B4A"/>
    <w:rsid w:val="00601C10"/>
    <w:rsid w:val="00601C6D"/>
    <w:rsid w:val="00601D77"/>
    <w:rsid w:val="00601E0C"/>
    <w:rsid w:val="00601E59"/>
    <w:rsid w:val="00601F31"/>
    <w:rsid w:val="006029EF"/>
    <w:rsid w:val="006031AD"/>
    <w:rsid w:val="00603524"/>
    <w:rsid w:val="00603C32"/>
    <w:rsid w:val="006040AB"/>
    <w:rsid w:val="006043AE"/>
    <w:rsid w:val="00604699"/>
    <w:rsid w:val="006046D4"/>
    <w:rsid w:val="0060482E"/>
    <w:rsid w:val="00604F99"/>
    <w:rsid w:val="00605D5C"/>
    <w:rsid w:val="00606840"/>
    <w:rsid w:val="006073CE"/>
    <w:rsid w:val="0060764B"/>
    <w:rsid w:val="00607658"/>
    <w:rsid w:val="00607B0C"/>
    <w:rsid w:val="00610BF6"/>
    <w:rsid w:val="00610DF4"/>
    <w:rsid w:val="00610E61"/>
    <w:rsid w:val="00611140"/>
    <w:rsid w:val="006114AE"/>
    <w:rsid w:val="006124DD"/>
    <w:rsid w:val="006127AB"/>
    <w:rsid w:val="0061290D"/>
    <w:rsid w:val="00612DE7"/>
    <w:rsid w:val="006130EE"/>
    <w:rsid w:val="006131CE"/>
    <w:rsid w:val="006138C0"/>
    <w:rsid w:val="00613A29"/>
    <w:rsid w:val="00613EF5"/>
    <w:rsid w:val="0061441E"/>
    <w:rsid w:val="006147E5"/>
    <w:rsid w:val="006149DB"/>
    <w:rsid w:val="00615836"/>
    <w:rsid w:val="00615D2C"/>
    <w:rsid w:val="00615DFD"/>
    <w:rsid w:val="00615E6C"/>
    <w:rsid w:val="00616104"/>
    <w:rsid w:val="00616AAF"/>
    <w:rsid w:val="006173C1"/>
    <w:rsid w:val="00617584"/>
    <w:rsid w:val="006176D9"/>
    <w:rsid w:val="00617B03"/>
    <w:rsid w:val="00617E61"/>
    <w:rsid w:val="0062059F"/>
    <w:rsid w:val="00620605"/>
    <w:rsid w:val="00620751"/>
    <w:rsid w:val="006207FA"/>
    <w:rsid w:val="006211CD"/>
    <w:rsid w:val="00621247"/>
    <w:rsid w:val="006226A2"/>
    <w:rsid w:val="00622E44"/>
    <w:rsid w:val="00623453"/>
    <w:rsid w:val="00623C52"/>
    <w:rsid w:val="00624692"/>
    <w:rsid w:val="00624A65"/>
    <w:rsid w:val="00625445"/>
    <w:rsid w:val="00625876"/>
    <w:rsid w:val="0062612B"/>
    <w:rsid w:val="006267F7"/>
    <w:rsid w:val="0062731C"/>
    <w:rsid w:val="006309E0"/>
    <w:rsid w:val="006311F1"/>
    <w:rsid w:val="006314C2"/>
    <w:rsid w:val="00631843"/>
    <w:rsid w:val="00631C37"/>
    <w:rsid w:val="0063209E"/>
    <w:rsid w:val="006320EC"/>
    <w:rsid w:val="0063233E"/>
    <w:rsid w:val="0063260C"/>
    <w:rsid w:val="006326C5"/>
    <w:rsid w:val="00632A6F"/>
    <w:rsid w:val="00632AF3"/>
    <w:rsid w:val="00633754"/>
    <w:rsid w:val="006337E6"/>
    <w:rsid w:val="00633965"/>
    <w:rsid w:val="0063405A"/>
    <w:rsid w:val="00635743"/>
    <w:rsid w:val="00635AD4"/>
    <w:rsid w:val="00636B48"/>
    <w:rsid w:val="00636CD7"/>
    <w:rsid w:val="00636CE4"/>
    <w:rsid w:val="0063794E"/>
    <w:rsid w:val="00637AF9"/>
    <w:rsid w:val="00640454"/>
    <w:rsid w:val="006406EE"/>
    <w:rsid w:val="00641023"/>
    <w:rsid w:val="006412EB"/>
    <w:rsid w:val="00641482"/>
    <w:rsid w:val="00641A26"/>
    <w:rsid w:val="0064274E"/>
    <w:rsid w:val="00642AF6"/>
    <w:rsid w:val="00642E5B"/>
    <w:rsid w:val="00642EEF"/>
    <w:rsid w:val="0064302D"/>
    <w:rsid w:val="006438FE"/>
    <w:rsid w:val="00644D2E"/>
    <w:rsid w:val="006459AD"/>
    <w:rsid w:val="006464AC"/>
    <w:rsid w:val="006469C2"/>
    <w:rsid w:val="00646A3A"/>
    <w:rsid w:val="00646F69"/>
    <w:rsid w:val="00647013"/>
    <w:rsid w:val="00647C7E"/>
    <w:rsid w:val="00650178"/>
    <w:rsid w:val="006502ED"/>
    <w:rsid w:val="006505BB"/>
    <w:rsid w:val="00650C67"/>
    <w:rsid w:val="006512F0"/>
    <w:rsid w:val="00651354"/>
    <w:rsid w:val="0065135E"/>
    <w:rsid w:val="006517D3"/>
    <w:rsid w:val="00651ADF"/>
    <w:rsid w:val="00651FFE"/>
    <w:rsid w:val="006525FA"/>
    <w:rsid w:val="00652861"/>
    <w:rsid w:val="00652911"/>
    <w:rsid w:val="00652B05"/>
    <w:rsid w:val="00652BF0"/>
    <w:rsid w:val="00652F60"/>
    <w:rsid w:val="00652FB4"/>
    <w:rsid w:val="00653B3C"/>
    <w:rsid w:val="00653F1C"/>
    <w:rsid w:val="0065423E"/>
    <w:rsid w:val="00654637"/>
    <w:rsid w:val="0065486D"/>
    <w:rsid w:val="00654A03"/>
    <w:rsid w:val="00654CF7"/>
    <w:rsid w:val="00654D82"/>
    <w:rsid w:val="00654FEE"/>
    <w:rsid w:val="0065544D"/>
    <w:rsid w:val="006554E5"/>
    <w:rsid w:val="00655915"/>
    <w:rsid w:val="00656380"/>
    <w:rsid w:val="00656AE0"/>
    <w:rsid w:val="00656BDE"/>
    <w:rsid w:val="00656DBF"/>
    <w:rsid w:val="00657160"/>
    <w:rsid w:val="006573F5"/>
    <w:rsid w:val="006577FA"/>
    <w:rsid w:val="006600B7"/>
    <w:rsid w:val="00660629"/>
    <w:rsid w:val="006608F8"/>
    <w:rsid w:val="00660C93"/>
    <w:rsid w:val="00661B4C"/>
    <w:rsid w:val="00661BE3"/>
    <w:rsid w:val="00662282"/>
    <w:rsid w:val="006629AB"/>
    <w:rsid w:val="0066339D"/>
    <w:rsid w:val="006637F7"/>
    <w:rsid w:val="00663ECC"/>
    <w:rsid w:val="00664431"/>
    <w:rsid w:val="00664474"/>
    <w:rsid w:val="0066448E"/>
    <w:rsid w:val="00664D95"/>
    <w:rsid w:val="00664FC5"/>
    <w:rsid w:val="00665539"/>
    <w:rsid w:val="00665594"/>
    <w:rsid w:val="006658F0"/>
    <w:rsid w:val="00665F0E"/>
    <w:rsid w:val="006662BA"/>
    <w:rsid w:val="00666332"/>
    <w:rsid w:val="0066642F"/>
    <w:rsid w:val="006666FD"/>
    <w:rsid w:val="00666DDF"/>
    <w:rsid w:val="006673D9"/>
    <w:rsid w:val="00667620"/>
    <w:rsid w:val="006678C9"/>
    <w:rsid w:val="00667D51"/>
    <w:rsid w:val="00667DB3"/>
    <w:rsid w:val="00670491"/>
    <w:rsid w:val="00670B23"/>
    <w:rsid w:val="00670F01"/>
    <w:rsid w:val="00670F08"/>
    <w:rsid w:val="00671112"/>
    <w:rsid w:val="006711CD"/>
    <w:rsid w:val="00671274"/>
    <w:rsid w:val="006714CE"/>
    <w:rsid w:val="00671FC2"/>
    <w:rsid w:val="00672021"/>
    <w:rsid w:val="006724B7"/>
    <w:rsid w:val="00672626"/>
    <w:rsid w:val="00672876"/>
    <w:rsid w:val="00672DD5"/>
    <w:rsid w:val="00672F78"/>
    <w:rsid w:val="0067339C"/>
    <w:rsid w:val="006734BE"/>
    <w:rsid w:val="006735F3"/>
    <w:rsid w:val="00673D32"/>
    <w:rsid w:val="00674859"/>
    <w:rsid w:val="00675366"/>
    <w:rsid w:val="006759CB"/>
    <w:rsid w:val="00675D32"/>
    <w:rsid w:val="00675E99"/>
    <w:rsid w:val="006760DF"/>
    <w:rsid w:val="0067611A"/>
    <w:rsid w:val="0067626D"/>
    <w:rsid w:val="0067642C"/>
    <w:rsid w:val="00676A74"/>
    <w:rsid w:val="00676B58"/>
    <w:rsid w:val="00676D5D"/>
    <w:rsid w:val="00680148"/>
    <w:rsid w:val="00680F5B"/>
    <w:rsid w:val="006815AE"/>
    <w:rsid w:val="00682164"/>
    <w:rsid w:val="006821A3"/>
    <w:rsid w:val="0068230C"/>
    <w:rsid w:val="00682BA5"/>
    <w:rsid w:val="00682FA5"/>
    <w:rsid w:val="0068316A"/>
    <w:rsid w:val="006834D8"/>
    <w:rsid w:val="006835B1"/>
    <w:rsid w:val="00683AC0"/>
    <w:rsid w:val="00683CCE"/>
    <w:rsid w:val="00683DEA"/>
    <w:rsid w:val="00683F05"/>
    <w:rsid w:val="006843EE"/>
    <w:rsid w:val="00684B43"/>
    <w:rsid w:val="00684D70"/>
    <w:rsid w:val="0068510C"/>
    <w:rsid w:val="006858F0"/>
    <w:rsid w:val="00685937"/>
    <w:rsid w:val="00685DBD"/>
    <w:rsid w:val="0068612F"/>
    <w:rsid w:val="00686EF0"/>
    <w:rsid w:val="00687B93"/>
    <w:rsid w:val="00687E4C"/>
    <w:rsid w:val="00687F21"/>
    <w:rsid w:val="00690A36"/>
    <w:rsid w:val="00690B2B"/>
    <w:rsid w:val="00690C85"/>
    <w:rsid w:val="0069106C"/>
    <w:rsid w:val="00691433"/>
    <w:rsid w:val="006914E7"/>
    <w:rsid w:val="006916AA"/>
    <w:rsid w:val="00691C48"/>
    <w:rsid w:val="00691D6E"/>
    <w:rsid w:val="00692436"/>
    <w:rsid w:val="00692D16"/>
    <w:rsid w:val="00692FF7"/>
    <w:rsid w:val="006930BD"/>
    <w:rsid w:val="0069324C"/>
    <w:rsid w:val="006935B3"/>
    <w:rsid w:val="00694761"/>
    <w:rsid w:val="00694840"/>
    <w:rsid w:val="0069509B"/>
    <w:rsid w:val="006951E2"/>
    <w:rsid w:val="006960FC"/>
    <w:rsid w:val="006964C6"/>
    <w:rsid w:val="00696852"/>
    <w:rsid w:val="00697379"/>
    <w:rsid w:val="00697393"/>
    <w:rsid w:val="006976BB"/>
    <w:rsid w:val="006977BF"/>
    <w:rsid w:val="006978ED"/>
    <w:rsid w:val="00697AF3"/>
    <w:rsid w:val="006A015F"/>
    <w:rsid w:val="006A114F"/>
    <w:rsid w:val="006A184C"/>
    <w:rsid w:val="006A2C78"/>
    <w:rsid w:val="006A3481"/>
    <w:rsid w:val="006A361D"/>
    <w:rsid w:val="006A3870"/>
    <w:rsid w:val="006A3AF9"/>
    <w:rsid w:val="006A433E"/>
    <w:rsid w:val="006A454B"/>
    <w:rsid w:val="006A46C0"/>
    <w:rsid w:val="006A4D83"/>
    <w:rsid w:val="006A4E72"/>
    <w:rsid w:val="006A4F97"/>
    <w:rsid w:val="006A52EE"/>
    <w:rsid w:val="006A6E5D"/>
    <w:rsid w:val="006A756A"/>
    <w:rsid w:val="006A7E3F"/>
    <w:rsid w:val="006B020C"/>
    <w:rsid w:val="006B07A9"/>
    <w:rsid w:val="006B1105"/>
    <w:rsid w:val="006B1158"/>
    <w:rsid w:val="006B15AD"/>
    <w:rsid w:val="006B3446"/>
    <w:rsid w:val="006B38BE"/>
    <w:rsid w:val="006B3921"/>
    <w:rsid w:val="006B3D8C"/>
    <w:rsid w:val="006B4618"/>
    <w:rsid w:val="006B4AFB"/>
    <w:rsid w:val="006B4F01"/>
    <w:rsid w:val="006B58A1"/>
    <w:rsid w:val="006B5C2D"/>
    <w:rsid w:val="006B618C"/>
    <w:rsid w:val="006B70F4"/>
    <w:rsid w:val="006B7470"/>
    <w:rsid w:val="006B74D3"/>
    <w:rsid w:val="006B7656"/>
    <w:rsid w:val="006B7810"/>
    <w:rsid w:val="006B7845"/>
    <w:rsid w:val="006B7867"/>
    <w:rsid w:val="006C00BB"/>
    <w:rsid w:val="006C0638"/>
    <w:rsid w:val="006C09E4"/>
    <w:rsid w:val="006C0ED8"/>
    <w:rsid w:val="006C102B"/>
    <w:rsid w:val="006C1144"/>
    <w:rsid w:val="006C1185"/>
    <w:rsid w:val="006C16F4"/>
    <w:rsid w:val="006C1B63"/>
    <w:rsid w:val="006C1F97"/>
    <w:rsid w:val="006C2872"/>
    <w:rsid w:val="006C2881"/>
    <w:rsid w:val="006C3181"/>
    <w:rsid w:val="006C3DDE"/>
    <w:rsid w:val="006C4C5E"/>
    <w:rsid w:val="006C57B2"/>
    <w:rsid w:val="006C6B6F"/>
    <w:rsid w:val="006C722C"/>
    <w:rsid w:val="006C7528"/>
    <w:rsid w:val="006C77ED"/>
    <w:rsid w:val="006C783F"/>
    <w:rsid w:val="006C798A"/>
    <w:rsid w:val="006C7A48"/>
    <w:rsid w:val="006C7E40"/>
    <w:rsid w:val="006D05DB"/>
    <w:rsid w:val="006D0894"/>
    <w:rsid w:val="006D179A"/>
    <w:rsid w:val="006D1EAB"/>
    <w:rsid w:val="006D21E9"/>
    <w:rsid w:val="006D22F6"/>
    <w:rsid w:val="006D257F"/>
    <w:rsid w:val="006D311A"/>
    <w:rsid w:val="006D341F"/>
    <w:rsid w:val="006D35EA"/>
    <w:rsid w:val="006D37AF"/>
    <w:rsid w:val="006D3A1F"/>
    <w:rsid w:val="006D3A52"/>
    <w:rsid w:val="006D4403"/>
    <w:rsid w:val="006D4720"/>
    <w:rsid w:val="006D4DF2"/>
    <w:rsid w:val="006D4FA9"/>
    <w:rsid w:val="006D5019"/>
    <w:rsid w:val="006D501E"/>
    <w:rsid w:val="006D50CD"/>
    <w:rsid w:val="006D5274"/>
    <w:rsid w:val="006D5A63"/>
    <w:rsid w:val="006D5B26"/>
    <w:rsid w:val="006D5D56"/>
    <w:rsid w:val="006D6D49"/>
    <w:rsid w:val="006D6DB7"/>
    <w:rsid w:val="006D70E0"/>
    <w:rsid w:val="006D7856"/>
    <w:rsid w:val="006D7A8B"/>
    <w:rsid w:val="006E0181"/>
    <w:rsid w:val="006E0F71"/>
    <w:rsid w:val="006E13AE"/>
    <w:rsid w:val="006E16AA"/>
    <w:rsid w:val="006E3227"/>
    <w:rsid w:val="006E3498"/>
    <w:rsid w:val="006E3C64"/>
    <w:rsid w:val="006E3D8A"/>
    <w:rsid w:val="006E4199"/>
    <w:rsid w:val="006E43F6"/>
    <w:rsid w:val="006E450A"/>
    <w:rsid w:val="006E46D5"/>
    <w:rsid w:val="006E4CA2"/>
    <w:rsid w:val="006E4D80"/>
    <w:rsid w:val="006E4E3E"/>
    <w:rsid w:val="006E532B"/>
    <w:rsid w:val="006E5464"/>
    <w:rsid w:val="006E5EE8"/>
    <w:rsid w:val="006E6B3E"/>
    <w:rsid w:val="006E6D3C"/>
    <w:rsid w:val="006E7108"/>
    <w:rsid w:val="006E718A"/>
    <w:rsid w:val="006E71F1"/>
    <w:rsid w:val="006E78A2"/>
    <w:rsid w:val="006E7D1E"/>
    <w:rsid w:val="006F0766"/>
    <w:rsid w:val="006F0B1D"/>
    <w:rsid w:val="006F0F53"/>
    <w:rsid w:val="006F195F"/>
    <w:rsid w:val="006F1CEE"/>
    <w:rsid w:val="006F1F96"/>
    <w:rsid w:val="006F21DA"/>
    <w:rsid w:val="006F2870"/>
    <w:rsid w:val="006F28CA"/>
    <w:rsid w:val="006F2D05"/>
    <w:rsid w:val="006F2DD0"/>
    <w:rsid w:val="006F3AED"/>
    <w:rsid w:val="006F5A43"/>
    <w:rsid w:val="006F618D"/>
    <w:rsid w:val="006F61DF"/>
    <w:rsid w:val="006F650B"/>
    <w:rsid w:val="006F67AF"/>
    <w:rsid w:val="006F69CF"/>
    <w:rsid w:val="006F70EF"/>
    <w:rsid w:val="007014EC"/>
    <w:rsid w:val="007018F0"/>
    <w:rsid w:val="007019F6"/>
    <w:rsid w:val="00701F04"/>
    <w:rsid w:val="0070267F"/>
    <w:rsid w:val="00702733"/>
    <w:rsid w:val="00702CAB"/>
    <w:rsid w:val="00703521"/>
    <w:rsid w:val="00703732"/>
    <w:rsid w:val="0070383F"/>
    <w:rsid w:val="00703DA0"/>
    <w:rsid w:val="0070438D"/>
    <w:rsid w:val="00704407"/>
    <w:rsid w:val="00704FF7"/>
    <w:rsid w:val="007052B0"/>
    <w:rsid w:val="00705558"/>
    <w:rsid w:val="00705B86"/>
    <w:rsid w:val="00705E27"/>
    <w:rsid w:val="00705F5D"/>
    <w:rsid w:val="007061E9"/>
    <w:rsid w:val="007064D2"/>
    <w:rsid w:val="00706583"/>
    <w:rsid w:val="007069ED"/>
    <w:rsid w:val="00707AA3"/>
    <w:rsid w:val="007102A7"/>
    <w:rsid w:val="007103DD"/>
    <w:rsid w:val="007107DF"/>
    <w:rsid w:val="007108F1"/>
    <w:rsid w:val="00710FA6"/>
    <w:rsid w:val="00710FBC"/>
    <w:rsid w:val="007110D8"/>
    <w:rsid w:val="00711275"/>
    <w:rsid w:val="0071251B"/>
    <w:rsid w:val="007125DE"/>
    <w:rsid w:val="00712750"/>
    <w:rsid w:val="00712967"/>
    <w:rsid w:val="00712E4D"/>
    <w:rsid w:val="0071312F"/>
    <w:rsid w:val="0071384D"/>
    <w:rsid w:val="00713A49"/>
    <w:rsid w:val="00713A52"/>
    <w:rsid w:val="00713B49"/>
    <w:rsid w:val="00713BA4"/>
    <w:rsid w:val="00713BAD"/>
    <w:rsid w:val="00713CCA"/>
    <w:rsid w:val="00713ED4"/>
    <w:rsid w:val="00713EF8"/>
    <w:rsid w:val="00714427"/>
    <w:rsid w:val="00714741"/>
    <w:rsid w:val="00714C37"/>
    <w:rsid w:val="00714C8E"/>
    <w:rsid w:val="007156A6"/>
    <w:rsid w:val="0071574D"/>
    <w:rsid w:val="00715DF7"/>
    <w:rsid w:val="00715E0F"/>
    <w:rsid w:val="00716567"/>
    <w:rsid w:val="00716847"/>
    <w:rsid w:val="00716F33"/>
    <w:rsid w:val="0071747F"/>
    <w:rsid w:val="00717754"/>
    <w:rsid w:val="00717B7A"/>
    <w:rsid w:val="00720BDD"/>
    <w:rsid w:val="0072101F"/>
    <w:rsid w:val="007212CB"/>
    <w:rsid w:val="0072166A"/>
    <w:rsid w:val="00721EE9"/>
    <w:rsid w:val="00722732"/>
    <w:rsid w:val="0072369E"/>
    <w:rsid w:val="007238A9"/>
    <w:rsid w:val="00723B94"/>
    <w:rsid w:val="00723E43"/>
    <w:rsid w:val="007240EE"/>
    <w:rsid w:val="007243FC"/>
    <w:rsid w:val="00724512"/>
    <w:rsid w:val="00724D36"/>
    <w:rsid w:val="00724E80"/>
    <w:rsid w:val="00724F48"/>
    <w:rsid w:val="00724FD0"/>
    <w:rsid w:val="00725400"/>
    <w:rsid w:val="0072547C"/>
    <w:rsid w:val="00725EF0"/>
    <w:rsid w:val="0072604F"/>
    <w:rsid w:val="00726BFF"/>
    <w:rsid w:val="00727213"/>
    <w:rsid w:val="0072742F"/>
    <w:rsid w:val="00727F78"/>
    <w:rsid w:val="0073154D"/>
    <w:rsid w:val="0073162B"/>
    <w:rsid w:val="00731881"/>
    <w:rsid w:val="00731913"/>
    <w:rsid w:val="00731DB2"/>
    <w:rsid w:val="007321D1"/>
    <w:rsid w:val="0073226A"/>
    <w:rsid w:val="007326BB"/>
    <w:rsid w:val="00732B3D"/>
    <w:rsid w:val="00733045"/>
    <w:rsid w:val="0073326B"/>
    <w:rsid w:val="007337E1"/>
    <w:rsid w:val="00733F24"/>
    <w:rsid w:val="00733FA3"/>
    <w:rsid w:val="007342AC"/>
    <w:rsid w:val="00734713"/>
    <w:rsid w:val="00734D2F"/>
    <w:rsid w:val="00734F0F"/>
    <w:rsid w:val="0073510D"/>
    <w:rsid w:val="00735226"/>
    <w:rsid w:val="00735BBB"/>
    <w:rsid w:val="00735C53"/>
    <w:rsid w:val="00736743"/>
    <w:rsid w:val="00736E50"/>
    <w:rsid w:val="007373FD"/>
    <w:rsid w:val="00737A7A"/>
    <w:rsid w:val="00737FE5"/>
    <w:rsid w:val="007401D9"/>
    <w:rsid w:val="00740460"/>
    <w:rsid w:val="0074051D"/>
    <w:rsid w:val="00740F24"/>
    <w:rsid w:val="00741B45"/>
    <w:rsid w:val="00741E2F"/>
    <w:rsid w:val="00741EC9"/>
    <w:rsid w:val="0074246F"/>
    <w:rsid w:val="007429ED"/>
    <w:rsid w:val="00742A67"/>
    <w:rsid w:val="007430CA"/>
    <w:rsid w:val="007436A4"/>
    <w:rsid w:val="00743DC3"/>
    <w:rsid w:val="00743F94"/>
    <w:rsid w:val="00744E39"/>
    <w:rsid w:val="007450A7"/>
    <w:rsid w:val="00745692"/>
    <w:rsid w:val="007464FB"/>
    <w:rsid w:val="0074704B"/>
    <w:rsid w:val="007474DC"/>
    <w:rsid w:val="00747741"/>
    <w:rsid w:val="00747A9B"/>
    <w:rsid w:val="00747D86"/>
    <w:rsid w:val="007501D2"/>
    <w:rsid w:val="0075064B"/>
    <w:rsid w:val="00750C6B"/>
    <w:rsid w:val="00750DF9"/>
    <w:rsid w:val="00750EB3"/>
    <w:rsid w:val="00751212"/>
    <w:rsid w:val="0075198E"/>
    <w:rsid w:val="00752066"/>
    <w:rsid w:val="00752071"/>
    <w:rsid w:val="007529C8"/>
    <w:rsid w:val="00753B48"/>
    <w:rsid w:val="00753EB2"/>
    <w:rsid w:val="0075428E"/>
    <w:rsid w:val="007542B0"/>
    <w:rsid w:val="00754429"/>
    <w:rsid w:val="00754696"/>
    <w:rsid w:val="00754B16"/>
    <w:rsid w:val="00754D0A"/>
    <w:rsid w:val="007553B1"/>
    <w:rsid w:val="0075719C"/>
    <w:rsid w:val="007577CE"/>
    <w:rsid w:val="007579E1"/>
    <w:rsid w:val="00757B91"/>
    <w:rsid w:val="007607CE"/>
    <w:rsid w:val="00760AD3"/>
    <w:rsid w:val="00760DF0"/>
    <w:rsid w:val="00760F06"/>
    <w:rsid w:val="007615E4"/>
    <w:rsid w:val="0076186B"/>
    <w:rsid w:val="00761E0D"/>
    <w:rsid w:val="00762133"/>
    <w:rsid w:val="0076230C"/>
    <w:rsid w:val="00762DD6"/>
    <w:rsid w:val="00762F71"/>
    <w:rsid w:val="00762FDB"/>
    <w:rsid w:val="00763152"/>
    <w:rsid w:val="00763529"/>
    <w:rsid w:val="00763648"/>
    <w:rsid w:val="00763693"/>
    <w:rsid w:val="00763A62"/>
    <w:rsid w:val="007640A5"/>
    <w:rsid w:val="0076489E"/>
    <w:rsid w:val="007648E6"/>
    <w:rsid w:val="007650A2"/>
    <w:rsid w:val="00765995"/>
    <w:rsid w:val="00765E01"/>
    <w:rsid w:val="00765E98"/>
    <w:rsid w:val="00766416"/>
    <w:rsid w:val="00766422"/>
    <w:rsid w:val="00766B23"/>
    <w:rsid w:val="00766B5F"/>
    <w:rsid w:val="00766CA5"/>
    <w:rsid w:val="00767582"/>
    <w:rsid w:val="00767D7B"/>
    <w:rsid w:val="00767F3E"/>
    <w:rsid w:val="00770427"/>
    <w:rsid w:val="0077045B"/>
    <w:rsid w:val="00770887"/>
    <w:rsid w:val="007708DC"/>
    <w:rsid w:val="00770982"/>
    <w:rsid w:val="007727F1"/>
    <w:rsid w:val="00772CAA"/>
    <w:rsid w:val="00772D55"/>
    <w:rsid w:val="00772EF8"/>
    <w:rsid w:val="007730CC"/>
    <w:rsid w:val="0077322E"/>
    <w:rsid w:val="00773772"/>
    <w:rsid w:val="00774716"/>
    <w:rsid w:val="0077484D"/>
    <w:rsid w:val="00774DE7"/>
    <w:rsid w:val="007752F8"/>
    <w:rsid w:val="007759E0"/>
    <w:rsid w:val="00775AF6"/>
    <w:rsid w:val="00776409"/>
    <w:rsid w:val="007766A4"/>
    <w:rsid w:val="00776784"/>
    <w:rsid w:val="007767C5"/>
    <w:rsid w:val="00776B05"/>
    <w:rsid w:val="007770A7"/>
    <w:rsid w:val="0077785A"/>
    <w:rsid w:val="00777E17"/>
    <w:rsid w:val="00780319"/>
    <w:rsid w:val="007803D0"/>
    <w:rsid w:val="00780ABC"/>
    <w:rsid w:val="00780EBC"/>
    <w:rsid w:val="0078138E"/>
    <w:rsid w:val="007815EB"/>
    <w:rsid w:val="00781659"/>
    <w:rsid w:val="0078251F"/>
    <w:rsid w:val="00783029"/>
    <w:rsid w:val="007830F5"/>
    <w:rsid w:val="007832BD"/>
    <w:rsid w:val="0078359E"/>
    <w:rsid w:val="007837AB"/>
    <w:rsid w:val="007841D6"/>
    <w:rsid w:val="00784A2F"/>
    <w:rsid w:val="00784D35"/>
    <w:rsid w:val="00784E3D"/>
    <w:rsid w:val="007850B5"/>
    <w:rsid w:val="00786292"/>
    <w:rsid w:val="00786515"/>
    <w:rsid w:val="007866E5"/>
    <w:rsid w:val="00786C75"/>
    <w:rsid w:val="00787276"/>
    <w:rsid w:val="0078727E"/>
    <w:rsid w:val="00790251"/>
    <w:rsid w:val="00790C39"/>
    <w:rsid w:val="00791215"/>
    <w:rsid w:val="0079130C"/>
    <w:rsid w:val="007919BA"/>
    <w:rsid w:val="00792348"/>
    <w:rsid w:val="00792849"/>
    <w:rsid w:val="00792BF4"/>
    <w:rsid w:val="00792C85"/>
    <w:rsid w:val="00792F8D"/>
    <w:rsid w:val="00793281"/>
    <w:rsid w:val="007950CE"/>
    <w:rsid w:val="007957B6"/>
    <w:rsid w:val="007961AA"/>
    <w:rsid w:val="0079645D"/>
    <w:rsid w:val="00796BDD"/>
    <w:rsid w:val="00796C8D"/>
    <w:rsid w:val="00797250"/>
    <w:rsid w:val="007977B0"/>
    <w:rsid w:val="00797848"/>
    <w:rsid w:val="00797A1F"/>
    <w:rsid w:val="007A098C"/>
    <w:rsid w:val="007A0DF3"/>
    <w:rsid w:val="007A10A3"/>
    <w:rsid w:val="007A126F"/>
    <w:rsid w:val="007A12F9"/>
    <w:rsid w:val="007A1642"/>
    <w:rsid w:val="007A2B3E"/>
    <w:rsid w:val="007A3260"/>
    <w:rsid w:val="007A3376"/>
    <w:rsid w:val="007A34B2"/>
    <w:rsid w:val="007A41D4"/>
    <w:rsid w:val="007A4208"/>
    <w:rsid w:val="007A445E"/>
    <w:rsid w:val="007A4EC2"/>
    <w:rsid w:val="007A50B2"/>
    <w:rsid w:val="007A62E3"/>
    <w:rsid w:val="007A6B37"/>
    <w:rsid w:val="007A7191"/>
    <w:rsid w:val="007A7205"/>
    <w:rsid w:val="007A7314"/>
    <w:rsid w:val="007A78EA"/>
    <w:rsid w:val="007B008F"/>
    <w:rsid w:val="007B04F5"/>
    <w:rsid w:val="007B110E"/>
    <w:rsid w:val="007B3315"/>
    <w:rsid w:val="007B3369"/>
    <w:rsid w:val="007B3549"/>
    <w:rsid w:val="007B3621"/>
    <w:rsid w:val="007B442C"/>
    <w:rsid w:val="007B4A82"/>
    <w:rsid w:val="007B523F"/>
    <w:rsid w:val="007B52A7"/>
    <w:rsid w:val="007B6007"/>
    <w:rsid w:val="007B626B"/>
    <w:rsid w:val="007B64AA"/>
    <w:rsid w:val="007B7198"/>
    <w:rsid w:val="007B7302"/>
    <w:rsid w:val="007B7451"/>
    <w:rsid w:val="007B7497"/>
    <w:rsid w:val="007B7D81"/>
    <w:rsid w:val="007B7F69"/>
    <w:rsid w:val="007C1025"/>
    <w:rsid w:val="007C1321"/>
    <w:rsid w:val="007C1790"/>
    <w:rsid w:val="007C18CB"/>
    <w:rsid w:val="007C1FFB"/>
    <w:rsid w:val="007C2392"/>
    <w:rsid w:val="007C24EE"/>
    <w:rsid w:val="007C2A25"/>
    <w:rsid w:val="007C3B8A"/>
    <w:rsid w:val="007C4568"/>
    <w:rsid w:val="007C4657"/>
    <w:rsid w:val="007C5910"/>
    <w:rsid w:val="007C5951"/>
    <w:rsid w:val="007C59F7"/>
    <w:rsid w:val="007C6C83"/>
    <w:rsid w:val="007C6DCF"/>
    <w:rsid w:val="007C6E65"/>
    <w:rsid w:val="007C73AC"/>
    <w:rsid w:val="007C7737"/>
    <w:rsid w:val="007C7BB9"/>
    <w:rsid w:val="007C7C33"/>
    <w:rsid w:val="007C7F1F"/>
    <w:rsid w:val="007D0044"/>
    <w:rsid w:val="007D06F4"/>
    <w:rsid w:val="007D18FE"/>
    <w:rsid w:val="007D2455"/>
    <w:rsid w:val="007D32B4"/>
    <w:rsid w:val="007D3AF7"/>
    <w:rsid w:val="007D434E"/>
    <w:rsid w:val="007D45C8"/>
    <w:rsid w:val="007D4BA8"/>
    <w:rsid w:val="007D4C28"/>
    <w:rsid w:val="007D4DEE"/>
    <w:rsid w:val="007D569F"/>
    <w:rsid w:val="007D59BC"/>
    <w:rsid w:val="007D5B05"/>
    <w:rsid w:val="007D653F"/>
    <w:rsid w:val="007D6F9A"/>
    <w:rsid w:val="007D716C"/>
    <w:rsid w:val="007D79D5"/>
    <w:rsid w:val="007E00E9"/>
    <w:rsid w:val="007E04BF"/>
    <w:rsid w:val="007E0DBB"/>
    <w:rsid w:val="007E0F97"/>
    <w:rsid w:val="007E100E"/>
    <w:rsid w:val="007E127A"/>
    <w:rsid w:val="007E1753"/>
    <w:rsid w:val="007E1904"/>
    <w:rsid w:val="007E1DD6"/>
    <w:rsid w:val="007E1F9F"/>
    <w:rsid w:val="007E2108"/>
    <w:rsid w:val="007E22C2"/>
    <w:rsid w:val="007E28C4"/>
    <w:rsid w:val="007E2B0A"/>
    <w:rsid w:val="007E2F61"/>
    <w:rsid w:val="007E301B"/>
    <w:rsid w:val="007E323F"/>
    <w:rsid w:val="007E35E4"/>
    <w:rsid w:val="007E376B"/>
    <w:rsid w:val="007E3A9E"/>
    <w:rsid w:val="007E3CBB"/>
    <w:rsid w:val="007E413C"/>
    <w:rsid w:val="007E41FB"/>
    <w:rsid w:val="007E4B68"/>
    <w:rsid w:val="007E4CC0"/>
    <w:rsid w:val="007E4DD3"/>
    <w:rsid w:val="007E56AE"/>
    <w:rsid w:val="007E59CA"/>
    <w:rsid w:val="007E5F7B"/>
    <w:rsid w:val="007E66D8"/>
    <w:rsid w:val="007E75C0"/>
    <w:rsid w:val="007E786E"/>
    <w:rsid w:val="007F052C"/>
    <w:rsid w:val="007F07F3"/>
    <w:rsid w:val="007F1203"/>
    <w:rsid w:val="007F1230"/>
    <w:rsid w:val="007F178D"/>
    <w:rsid w:val="007F1A1F"/>
    <w:rsid w:val="007F1D41"/>
    <w:rsid w:val="007F1F03"/>
    <w:rsid w:val="007F24B0"/>
    <w:rsid w:val="007F2625"/>
    <w:rsid w:val="007F2F76"/>
    <w:rsid w:val="007F35DF"/>
    <w:rsid w:val="007F3E5C"/>
    <w:rsid w:val="007F406A"/>
    <w:rsid w:val="007F45BC"/>
    <w:rsid w:val="007F5114"/>
    <w:rsid w:val="007F54B2"/>
    <w:rsid w:val="007F54DE"/>
    <w:rsid w:val="007F59DB"/>
    <w:rsid w:val="007F6592"/>
    <w:rsid w:val="007F65F9"/>
    <w:rsid w:val="007F65FF"/>
    <w:rsid w:val="007F68B7"/>
    <w:rsid w:val="007F6C61"/>
    <w:rsid w:val="007F78D5"/>
    <w:rsid w:val="007F7902"/>
    <w:rsid w:val="007F7CD3"/>
    <w:rsid w:val="0080016B"/>
    <w:rsid w:val="00801265"/>
    <w:rsid w:val="00801843"/>
    <w:rsid w:val="00801A73"/>
    <w:rsid w:val="008024AE"/>
    <w:rsid w:val="00802E04"/>
    <w:rsid w:val="0080396D"/>
    <w:rsid w:val="00803CEE"/>
    <w:rsid w:val="00803F6D"/>
    <w:rsid w:val="00803F9C"/>
    <w:rsid w:val="00804350"/>
    <w:rsid w:val="0080444A"/>
    <w:rsid w:val="008045CF"/>
    <w:rsid w:val="008045ED"/>
    <w:rsid w:val="00805103"/>
    <w:rsid w:val="00805E97"/>
    <w:rsid w:val="00805FD3"/>
    <w:rsid w:val="00806131"/>
    <w:rsid w:val="008069A6"/>
    <w:rsid w:val="00806CC1"/>
    <w:rsid w:val="00807560"/>
    <w:rsid w:val="00810546"/>
    <w:rsid w:val="00810653"/>
    <w:rsid w:val="00810935"/>
    <w:rsid w:val="00810D7B"/>
    <w:rsid w:val="00810DC0"/>
    <w:rsid w:val="00810E3C"/>
    <w:rsid w:val="00811441"/>
    <w:rsid w:val="00811799"/>
    <w:rsid w:val="00812597"/>
    <w:rsid w:val="00812786"/>
    <w:rsid w:val="008128C4"/>
    <w:rsid w:val="00813038"/>
    <w:rsid w:val="008138E4"/>
    <w:rsid w:val="00813BBB"/>
    <w:rsid w:val="00815198"/>
    <w:rsid w:val="00815CEC"/>
    <w:rsid w:val="008168A5"/>
    <w:rsid w:val="00816D7C"/>
    <w:rsid w:val="00817036"/>
    <w:rsid w:val="008170E9"/>
    <w:rsid w:val="00817314"/>
    <w:rsid w:val="00817AEB"/>
    <w:rsid w:val="00817C76"/>
    <w:rsid w:val="0082004A"/>
    <w:rsid w:val="008202BA"/>
    <w:rsid w:val="008202F3"/>
    <w:rsid w:val="0082037E"/>
    <w:rsid w:val="0082079C"/>
    <w:rsid w:val="00820875"/>
    <w:rsid w:val="00820962"/>
    <w:rsid w:val="00820BE6"/>
    <w:rsid w:val="008210D3"/>
    <w:rsid w:val="008213AF"/>
    <w:rsid w:val="00821444"/>
    <w:rsid w:val="008215B9"/>
    <w:rsid w:val="008216BC"/>
    <w:rsid w:val="00821747"/>
    <w:rsid w:val="00821749"/>
    <w:rsid w:val="00821B89"/>
    <w:rsid w:val="0082235A"/>
    <w:rsid w:val="00822B95"/>
    <w:rsid w:val="00822EDB"/>
    <w:rsid w:val="008234DD"/>
    <w:rsid w:val="00823976"/>
    <w:rsid w:val="00823B36"/>
    <w:rsid w:val="00823C82"/>
    <w:rsid w:val="00823E43"/>
    <w:rsid w:val="00823F07"/>
    <w:rsid w:val="00824070"/>
    <w:rsid w:val="008241D8"/>
    <w:rsid w:val="008242AC"/>
    <w:rsid w:val="0082454A"/>
    <w:rsid w:val="0082661D"/>
    <w:rsid w:val="00830151"/>
    <w:rsid w:val="0083023D"/>
    <w:rsid w:val="00830423"/>
    <w:rsid w:val="008306CF"/>
    <w:rsid w:val="0083082F"/>
    <w:rsid w:val="00830D15"/>
    <w:rsid w:val="008314D1"/>
    <w:rsid w:val="0083168F"/>
    <w:rsid w:val="00831EED"/>
    <w:rsid w:val="00832056"/>
    <w:rsid w:val="008326E7"/>
    <w:rsid w:val="008328E3"/>
    <w:rsid w:val="00832DEB"/>
    <w:rsid w:val="00834161"/>
    <w:rsid w:val="00834BCD"/>
    <w:rsid w:val="00834FB3"/>
    <w:rsid w:val="00835288"/>
    <w:rsid w:val="008354B6"/>
    <w:rsid w:val="00835CC8"/>
    <w:rsid w:val="00835DBD"/>
    <w:rsid w:val="0083601A"/>
    <w:rsid w:val="00836054"/>
    <w:rsid w:val="008360FD"/>
    <w:rsid w:val="00836272"/>
    <w:rsid w:val="008362B6"/>
    <w:rsid w:val="00836D0F"/>
    <w:rsid w:val="008374FC"/>
    <w:rsid w:val="00837BEB"/>
    <w:rsid w:val="00840198"/>
    <w:rsid w:val="00840441"/>
    <w:rsid w:val="008405E0"/>
    <w:rsid w:val="00840BC5"/>
    <w:rsid w:val="00840C3C"/>
    <w:rsid w:val="00840F7F"/>
    <w:rsid w:val="00841150"/>
    <w:rsid w:val="0084199D"/>
    <w:rsid w:val="00841D85"/>
    <w:rsid w:val="00842771"/>
    <w:rsid w:val="00842B7D"/>
    <w:rsid w:val="00842ECE"/>
    <w:rsid w:val="00843CBA"/>
    <w:rsid w:val="00843EAC"/>
    <w:rsid w:val="008442D2"/>
    <w:rsid w:val="00844697"/>
    <w:rsid w:val="00844985"/>
    <w:rsid w:val="00844A9F"/>
    <w:rsid w:val="00844E9A"/>
    <w:rsid w:val="00845606"/>
    <w:rsid w:val="0084568A"/>
    <w:rsid w:val="00845BDB"/>
    <w:rsid w:val="008461BF"/>
    <w:rsid w:val="008461C8"/>
    <w:rsid w:val="008469B1"/>
    <w:rsid w:val="00846A1C"/>
    <w:rsid w:val="00846F2F"/>
    <w:rsid w:val="00847A74"/>
    <w:rsid w:val="00847E54"/>
    <w:rsid w:val="00850A7B"/>
    <w:rsid w:val="00850E23"/>
    <w:rsid w:val="00850FB1"/>
    <w:rsid w:val="00851388"/>
    <w:rsid w:val="008519BC"/>
    <w:rsid w:val="00851BF8"/>
    <w:rsid w:val="00852345"/>
    <w:rsid w:val="00852638"/>
    <w:rsid w:val="00852D5C"/>
    <w:rsid w:val="00852F05"/>
    <w:rsid w:val="00853090"/>
    <w:rsid w:val="00853329"/>
    <w:rsid w:val="00853509"/>
    <w:rsid w:val="00853AF2"/>
    <w:rsid w:val="00853B02"/>
    <w:rsid w:val="00853BC8"/>
    <w:rsid w:val="0085437C"/>
    <w:rsid w:val="00854CCB"/>
    <w:rsid w:val="0085580B"/>
    <w:rsid w:val="00855C1C"/>
    <w:rsid w:val="00856043"/>
    <w:rsid w:val="008562F6"/>
    <w:rsid w:val="00856595"/>
    <w:rsid w:val="00856D8A"/>
    <w:rsid w:val="00856FC6"/>
    <w:rsid w:val="0085756E"/>
    <w:rsid w:val="008575D8"/>
    <w:rsid w:val="00860156"/>
    <w:rsid w:val="00860F01"/>
    <w:rsid w:val="00860F36"/>
    <w:rsid w:val="008612A8"/>
    <w:rsid w:val="008625C0"/>
    <w:rsid w:val="00862B00"/>
    <w:rsid w:val="00863FA2"/>
    <w:rsid w:val="00864133"/>
    <w:rsid w:val="00864BAC"/>
    <w:rsid w:val="00865223"/>
    <w:rsid w:val="00865250"/>
    <w:rsid w:val="00865264"/>
    <w:rsid w:val="0086592B"/>
    <w:rsid w:val="00866142"/>
    <w:rsid w:val="00866972"/>
    <w:rsid w:val="00867198"/>
    <w:rsid w:val="0086751D"/>
    <w:rsid w:val="00867903"/>
    <w:rsid w:val="00867EE1"/>
    <w:rsid w:val="00870084"/>
    <w:rsid w:val="00870638"/>
    <w:rsid w:val="00870888"/>
    <w:rsid w:val="00870FA2"/>
    <w:rsid w:val="00871528"/>
    <w:rsid w:val="008715A1"/>
    <w:rsid w:val="0087193A"/>
    <w:rsid w:val="00871B9F"/>
    <w:rsid w:val="00871CA8"/>
    <w:rsid w:val="008722DD"/>
    <w:rsid w:val="00872D49"/>
    <w:rsid w:val="008734C1"/>
    <w:rsid w:val="00874500"/>
    <w:rsid w:val="0087488B"/>
    <w:rsid w:val="00874A2B"/>
    <w:rsid w:val="00874B1E"/>
    <w:rsid w:val="00874BAA"/>
    <w:rsid w:val="00875CB8"/>
    <w:rsid w:val="00876987"/>
    <w:rsid w:val="008777AC"/>
    <w:rsid w:val="00877A4E"/>
    <w:rsid w:val="00877F55"/>
    <w:rsid w:val="00880721"/>
    <w:rsid w:val="00880CE6"/>
    <w:rsid w:val="008811AC"/>
    <w:rsid w:val="00881978"/>
    <w:rsid w:val="00881C12"/>
    <w:rsid w:val="00881DA0"/>
    <w:rsid w:val="008828B3"/>
    <w:rsid w:val="00882DCD"/>
    <w:rsid w:val="00883399"/>
    <w:rsid w:val="0088368D"/>
    <w:rsid w:val="00883A3D"/>
    <w:rsid w:val="00883A43"/>
    <w:rsid w:val="00884394"/>
    <w:rsid w:val="0088475C"/>
    <w:rsid w:val="00884DE1"/>
    <w:rsid w:val="00885C38"/>
    <w:rsid w:val="00886D08"/>
    <w:rsid w:val="00887157"/>
    <w:rsid w:val="00887FDF"/>
    <w:rsid w:val="00891B29"/>
    <w:rsid w:val="0089296D"/>
    <w:rsid w:val="008930F0"/>
    <w:rsid w:val="00893D2C"/>
    <w:rsid w:val="00893F6D"/>
    <w:rsid w:val="008947AD"/>
    <w:rsid w:val="00895BF3"/>
    <w:rsid w:val="008967D5"/>
    <w:rsid w:val="00896B3C"/>
    <w:rsid w:val="00896D37"/>
    <w:rsid w:val="008971B1"/>
    <w:rsid w:val="00897432"/>
    <w:rsid w:val="00897E53"/>
    <w:rsid w:val="008A0382"/>
    <w:rsid w:val="008A0A31"/>
    <w:rsid w:val="008A0DA6"/>
    <w:rsid w:val="008A1600"/>
    <w:rsid w:val="008A1EBC"/>
    <w:rsid w:val="008A1FA2"/>
    <w:rsid w:val="008A2E6F"/>
    <w:rsid w:val="008A3859"/>
    <w:rsid w:val="008A40CE"/>
    <w:rsid w:val="008A443A"/>
    <w:rsid w:val="008A4C9D"/>
    <w:rsid w:val="008A4FD2"/>
    <w:rsid w:val="008A50AB"/>
    <w:rsid w:val="008A5701"/>
    <w:rsid w:val="008A5DC0"/>
    <w:rsid w:val="008A680B"/>
    <w:rsid w:val="008A68CE"/>
    <w:rsid w:val="008A7090"/>
    <w:rsid w:val="008B0190"/>
    <w:rsid w:val="008B041F"/>
    <w:rsid w:val="008B0629"/>
    <w:rsid w:val="008B07BC"/>
    <w:rsid w:val="008B1242"/>
    <w:rsid w:val="008B165E"/>
    <w:rsid w:val="008B16CD"/>
    <w:rsid w:val="008B19FD"/>
    <w:rsid w:val="008B21AD"/>
    <w:rsid w:val="008B2795"/>
    <w:rsid w:val="008B2B3C"/>
    <w:rsid w:val="008B327D"/>
    <w:rsid w:val="008B3C26"/>
    <w:rsid w:val="008B4705"/>
    <w:rsid w:val="008B4957"/>
    <w:rsid w:val="008B5D4B"/>
    <w:rsid w:val="008B6A86"/>
    <w:rsid w:val="008B70EF"/>
    <w:rsid w:val="008B7125"/>
    <w:rsid w:val="008C01D1"/>
    <w:rsid w:val="008C022C"/>
    <w:rsid w:val="008C0A2D"/>
    <w:rsid w:val="008C0F0C"/>
    <w:rsid w:val="008C248C"/>
    <w:rsid w:val="008C298A"/>
    <w:rsid w:val="008C2C08"/>
    <w:rsid w:val="008C2F0D"/>
    <w:rsid w:val="008C30EB"/>
    <w:rsid w:val="008C326F"/>
    <w:rsid w:val="008C34B2"/>
    <w:rsid w:val="008C3788"/>
    <w:rsid w:val="008C3C39"/>
    <w:rsid w:val="008C46BF"/>
    <w:rsid w:val="008C48B0"/>
    <w:rsid w:val="008C50E6"/>
    <w:rsid w:val="008C541E"/>
    <w:rsid w:val="008C57A8"/>
    <w:rsid w:val="008C635B"/>
    <w:rsid w:val="008C6976"/>
    <w:rsid w:val="008C6B7D"/>
    <w:rsid w:val="008C7074"/>
    <w:rsid w:val="008C73F7"/>
    <w:rsid w:val="008C750D"/>
    <w:rsid w:val="008C7604"/>
    <w:rsid w:val="008D006B"/>
    <w:rsid w:val="008D02CD"/>
    <w:rsid w:val="008D0DFE"/>
    <w:rsid w:val="008D1038"/>
    <w:rsid w:val="008D1112"/>
    <w:rsid w:val="008D14BB"/>
    <w:rsid w:val="008D176B"/>
    <w:rsid w:val="008D196A"/>
    <w:rsid w:val="008D1A01"/>
    <w:rsid w:val="008D1F29"/>
    <w:rsid w:val="008D2835"/>
    <w:rsid w:val="008D3DDA"/>
    <w:rsid w:val="008D3FF4"/>
    <w:rsid w:val="008D4678"/>
    <w:rsid w:val="008D4831"/>
    <w:rsid w:val="008D48C6"/>
    <w:rsid w:val="008D53C2"/>
    <w:rsid w:val="008D53D8"/>
    <w:rsid w:val="008D5C9C"/>
    <w:rsid w:val="008D60BA"/>
    <w:rsid w:val="008D653F"/>
    <w:rsid w:val="008D67E9"/>
    <w:rsid w:val="008D73C3"/>
    <w:rsid w:val="008D73D2"/>
    <w:rsid w:val="008D78AA"/>
    <w:rsid w:val="008E09C3"/>
    <w:rsid w:val="008E0ACA"/>
    <w:rsid w:val="008E1192"/>
    <w:rsid w:val="008E13BD"/>
    <w:rsid w:val="008E182C"/>
    <w:rsid w:val="008E1C6A"/>
    <w:rsid w:val="008E20FF"/>
    <w:rsid w:val="008E272A"/>
    <w:rsid w:val="008E3521"/>
    <w:rsid w:val="008E3A2F"/>
    <w:rsid w:val="008E3AED"/>
    <w:rsid w:val="008E3C48"/>
    <w:rsid w:val="008E3CF5"/>
    <w:rsid w:val="008E3DEE"/>
    <w:rsid w:val="008E4C75"/>
    <w:rsid w:val="008E513C"/>
    <w:rsid w:val="008E56F4"/>
    <w:rsid w:val="008E69DA"/>
    <w:rsid w:val="008E7038"/>
    <w:rsid w:val="008E72DC"/>
    <w:rsid w:val="008E75BF"/>
    <w:rsid w:val="008F0837"/>
    <w:rsid w:val="008F0D04"/>
    <w:rsid w:val="008F0DD5"/>
    <w:rsid w:val="008F1113"/>
    <w:rsid w:val="008F1134"/>
    <w:rsid w:val="008F1581"/>
    <w:rsid w:val="008F15D8"/>
    <w:rsid w:val="008F160D"/>
    <w:rsid w:val="008F1B20"/>
    <w:rsid w:val="008F1CA8"/>
    <w:rsid w:val="008F1D9B"/>
    <w:rsid w:val="008F1EA8"/>
    <w:rsid w:val="008F1EB5"/>
    <w:rsid w:val="008F209F"/>
    <w:rsid w:val="008F21BA"/>
    <w:rsid w:val="008F29DC"/>
    <w:rsid w:val="008F2B13"/>
    <w:rsid w:val="008F2C55"/>
    <w:rsid w:val="008F3684"/>
    <w:rsid w:val="008F3E98"/>
    <w:rsid w:val="008F4D07"/>
    <w:rsid w:val="008F4F70"/>
    <w:rsid w:val="008F51BB"/>
    <w:rsid w:val="008F57F6"/>
    <w:rsid w:val="008F5D76"/>
    <w:rsid w:val="008F5E15"/>
    <w:rsid w:val="008F62EF"/>
    <w:rsid w:val="008F6AA6"/>
    <w:rsid w:val="008F6D8B"/>
    <w:rsid w:val="008F6F6F"/>
    <w:rsid w:val="008F7938"/>
    <w:rsid w:val="008F7B9C"/>
    <w:rsid w:val="009006AA"/>
    <w:rsid w:val="009012FB"/>
    <w:rsid w:val="009020AD"/>
    <w:rsid w:val="009020C8"/>
    <w:rsid w:val="0090215C"/>
    <w:rsid w:val="00903093"/>
    <w:rsid w:val="0090310A"/>
    <w:rsid w:val="009039C4"/>
    <w:rsid w:val="00903E34"/>
    <w:rsid w:val="0090512C"/>
    <w:rsid w:val="009051FB"/>
    <w:rsid w:val="0090557C"/>
    <w:rsid w:val="0090562D"/>
    <w:rsid w:val="00905B1C"/>
    <w:rsid w:val="00905E17"/>
    <w:rsid w:val="0090633F"/>
    <w:rsid w:val="0090641A"/>
    <w:rsid w:val="0090737E"/>
    <w:rsid w:val="00907E49"/>
    <w:rsid w:val="009108E1"/>
    <w:rsid w:val="00910E84"/>
    <w:rsid w:val="00911411"/>
    <w:rsid w:val="00911B8C"/>
    <w:rsid w:val="00911DA0"/>
    <w:rsid w:val="0091226D"/>
    <w:rsid w:val="0091286D"/>
    <w:rsid w:val="00913197"/>
    <w:rsid w:val="0091353B"/>
    <w:rsid w:val="0091366D"/>
    <w:rsid w:val="00913C26"/>
    <w:rsid w:val="00914399"/>
    <w:rsid w:val="009144A5"/>
    <w:rsid w:val="009145A3"/>
    <w:rsid w:val="009149DD"/>
    <w:rsid w:val="00914E08"/>
    <w:rsid w:val="0091562C"/>
    <w:rsid w:val="00915C6E"/>
    <w:rsid w:val="009160C9"/>
    <w:rsid w:val="0091667E"/>
    <w:rsid w:val="009167E2"/>
    <w:rsid w:val="0091680A"/>
    <w:rsid w:val="00916D65"/>
    <w:rsid w:val="00916F6B"/>
    <w:rsid w:val="00917990"/>
    <w:rsid w:val="00917A63"/>
    <w:rsid w:val="00917BC5"/>
    <w:rsid w:val="00920649"/>
    <w:rsid w:val="00921262"/>
    <w:rsid w:val="00921588"/>
    <w:rsid w:val="009223FB"/>
    <w:rsid w:val="00922902"/>
    <w:rsid w:val="00922FE6"/>
    <w:rsid w:val="009231A5"/>
    <w:rsid w:val="00923559"/>
    <w:rsid w:val="009236A4"/>
    <w:rsid w:val="009240F6"/>
    <w:rsid w:val="0092429A"/>
    <w:rsid w:val="00924745"/>
    <w:rsid w:val="00924C97"/>
    <w:rsid w:val="0092503F"/>
    <w:rsid w:val="00925C80"/>
    <w:rsid w:val="00925E60"/>
    <w:rsid w:val="00926944"/>
    <w:rsid w:val="009269F4"/>
    <w:rsid w:val="00927292"/>
    <w:rsid w:val="009272C0"/>
    <w:rsid w:val="00927717"/>
    <w:rsid w:val="00927E90"/>
    <w:rsid w:val="00927EF1"/>
    <w:rsid w:val="0093004F"/>
    <w:rsid w:val="0093040B"/>
    <w:rsid w:val="00930DB4"/>
    <w:rsid w:val="00930E6C"/>
    <w:rsid w:val="0093163C"/>
    <w:rsid w:val="00931682"/>
    <w:rsid w:val="0093211F"/>
    <w:rsid w:val="00932186"/>
    <w:rsid w:val="00932464"/>
    <w:rsid w:val="009325A8"/>
    <w:rsid w:val="0093296D"/>
    <w:rsid w:val="00932987"/>
    <w:rsid w:val="00933BBE"/>
    <w:rsid w:val="00934030"/>
    <w:rsid w:val="009343A4"/>
    <w:rsid w:val="009344DC"/>
    <w:rsid w:val="00934F91"/>
    <w:rsid w:val="00935767"/>
    <w:rsid w:val="00935852"/>
    <w:rsid w:val="0093657A"/>
    <w:rsid w:val="0093667C"/>
    <w:rsid w:val="009366D4"/>
    <w:rsid w:val="009367C4"/>
    <w:rsid w:val="00936CD8"/>
    <w:rsid w:val="00937069"/>
    <w:rsid w:val="00937178"/>
    <w:rsid w:val="00937331"/>
    <w:rsid w:val="00937702"/>
    <w:rsid w:val="00937A89"/>
    <w:rsid w:val="00937E06"/>
    <w:rsid w:val="00937F0C"/>
    <w:rsid w:val="00940328"/>
    <w:rsid w:val="009403AD"/>
    <w:rsid w:val="00940EA8"/>
    <w:rsid w:val="00940FE5"/>
    <w:rsid w:val="00941E99"/>
    <w:rsid w:val="009420B2"/>
    <w:rsid w:val="009426F7"/>
    <w:rsid w:val="009427EB"/>
    <w:rsid w:val="00942C9B"/>
    <w:rsid w:val="0094308D"/>
    <w:rsid w:val="009440AF"/>
    <w:rsid w:val="00944627"/>
    <w:rsid w:val="00944890"/>
    <w:rsid w:val="009448F8"/>
    <w:rsid w:val="00944B8F"/>
    <w:rsid w:val="0094633A"/>
    <w:rsid w:val="009463C3"/>
    <w:rsid w:val="00946883"/>
    <w:rsid w:val="00947D06"/>
    <w:rsid w:val="009501B4"/>
    <w:rsid w:val="009507B3"/>
    <w:rsid w:val="0095090A"/>
    <w:rsid w:val="00950CAC"/>
    <w:rsid w:val="00951176"/>
    <w:rsid w:val="00951C14"/>
    <w:rsid w:val="00951D98"/>
    <w:rsid w:val="00951E83"/>
    <w:rsid w:val="0095270C"/>
    <w:rsid w:val="00952D62"/>
    <w:rsid w:val="00953AB5"/>
    <w:rsid w:val="00953E5F"/>
    <w:rsid w:val="009544DF"/>
    <w:rsid w:val="00954BBF"/>
    <w:rsid w:val="00954CE2"/>
    <w:rsid w:val="009556AA"/>
    <w:rsid w:val="009557EA"/>
    <w:rsid w:val="00955A05"/>
    <w:rsid w:val="00955C91"/>
    <w:rsid w:val="00955DC8"/>
    <w:rsid w:val="00955F7B"/>
    <w:rsid w:val="009567AC"/>
    <w:rsid w:val="00956CC1"/>
    <w:rsid w:val="00956E59"/>
    <w:rsid w:val="00957AC8"/>
    <w:rsid w:val="0096006A"/>
    <w:rsid w:val="009606FD"/>
    <w:rsid w:val="00960E05"/>
    <w:rsid w:val="00961073"/>
    <w:rsid w:val="0096184C"/>
    <w:rsid w:val="009619E6"/>
    <w:rsid w:val="00961C92"/>
    <w:rsid w:val="00961D25"/>
    <w:rsid w:val="00962004"/>
    <w:rsid w:val="00962749"/>
    <w:rsid w:val="0096283A"/>
    <w:rsid w:val="00962D3D"/>
    <w:rsid w:val="00962F63"/>
    <w:rsid w:val="00962FD6"/>
    <w:rsid w:val="009635FF"/>
    <w:rsid w:val="00963799"/>
    <w:rsid w:val="00963E5A"/>
    <w:rsid w:val="009645CF"/>
    <w:rsid w:val="009660E5"/>
    <w:rsid w:val="0096612D"/>
    <w:rsid w:val="009661FC"/>
    <w:rsid w:val="0096631B"/>
    <w:rsid w:val="00966977"/>
    <w:rsid w:val="009672EC"/>
    <w:rsid w:val="00967BB9"/>
    <w:rsid w:val="00967E84"/>
    <w:rsid w:val="00970EB8"/>
    <w:rsid w:val="00970FB3"/>
    <w:rsid w:val="00971228"/>
    <w:rsid w:val="00971857"/>
    <w:rsid w:val="00971C40"/>
    <w:rsid w:val="0097264F"/>
    <w:rsid w:val="009727C2"/>
    <w:rsid w:val="00972B22"/>
    <w:rsid w:val="00973445"/>
    <w:rsid w:val="00973733"/>
    <w:rsid w:val="0097384D"/>
    <w:rsid w:val="009749AD"/>
    <w:rsid w:val="009750CE"/>
    <w:rsid w:val="00975816"/>
    <w:rsid w:val="00975E09"/>
    <w:rsid w:val="00976910"/>
    <w:rsid w:val="00976DCD"/>
    <w:rsid w:val="009772CA"/>
    <w:rsid w:val="009772D1"/>
    <w:rsid w:val="009810FB"/>
    <w:rsid w:val="009814F8"/>
    <w:rsid w:val="00982109"/>
    <w:rsid w:val="00982E94"/>
    <w:rsid w:val="0098306A"/>
    <w:rsid w:val="00983265"/>
    <w:rsid w:val="00983505"/>
    <w:rsid w:val="0098490F"/>
    <w:rsid w:val="0098552E"/>
    <w:rsid w:val="00985622"/>
    <w:rsid w:val="00986786"/>
    <w:rsid w:val="00986D0F"/>
    <w:rsid w:val="00986FE2"/>
    <w:rsid w:val="009875A2"/>
    <w:rsid w:val="00987A25"/>
    <w:rsid w:val="00987A4B"/>
    <w:rsid w:val="00987AE4"/>
    <w:rsid w:val="00987CE4"/>
    <w:rsid w:val="00987D06"/>
    <w:rsid w:val="00987F6E"/>
    <w:rsid w:val="00990210"/>
    <w:rsid w:val="00990212"/>
    <w:rsid w:val="00990A2E"/>
    <w:rsid w:val="00990D38"/>
    <w:rsid w:val="00991234"/>
    <w:rsid w:val="00991AB2"/>
    <w:rsid w:val="00991CB3"/>
    <w:rsid w:val="0099209A"/>
    <w:rsid w:val="00992478"/>
    <w:rsid w:val="009926DE"/>
    <w:rsid w:val="00992FD7"/>
    <w:rsid w:val="0099311B"/>
    <w:rsid w:val="009931B5"/>
    <w:rsid w:val="0099382C"/>
    <w:rsid w:val="00994293"/>
    <w:rsid w:val="009947C7"/>
    <w:rsid w:val="00994F58"/>
    <w:rsid w:val="009953A7"/>
    <w:rsid w:val="009955F2"/>
    <w:rsid w:val="00995B87"/>
    <w:rsid w:val="00995EA7"/>
    <w:rsid w:val="00995F2D"/>
    <w:rsid w:val="00996230"/>
    <w:rsid w:val="00996BA8"/>
    <w:rsid w:val="00996FC9"/>
    <w:rsid w:val="00997295"/>
    <w:rsid w:val="009973BB"/>
    <w:rsid w:val="009975EC"/>
    <w:rsid w:val="00997A43"/>
    <w:rsid w:val="00997C45"/>
    <w:rsid w:val="009A03A7"/>
    <w:rsid w:val="009A044E"/>
    <w:rsid w:val="009A067C"/>
    <w:rsid w:val="009A1227"/>
    <w:rsid w:val="009A1307"/>
    <w:rsid w:val="009A158A"/>
    <w:rsid w:val="009A1E9B"/>
    <w:rsid w:val="009A2220"/>
    <w:rsid w:val="009A2248"/>
    <w:rsid w:val="009A2AD3"/>
    <w:rsid w:val="009A2D3C"/>
    <w:rsid w:val="009A38EA"/>
    <w:rsid w:val="009A3E8B"/>
    <w:rsid w:val="009A3FA1"/>
    <w:rsid w:val="009A4373"/>
    <w:rsid w:val="009A4971"/>
    <w:rsid w:val="009A4AC9"/>
    <w:rsid w:val="009A4D08"/>
    <w:rsid w:val="009A50B6"/>
    <w:rsid w:val="009A52F8"/>
    <w:rsid w:val="009A55D4"/>
    <w:rsid w:val="009A5BBF"/>
    <w:rsid w:val="009A5BCC"/>
    <w:rsid w:val="009A5D58"/>
    <w:rsid w:val="009A5E4F"/>
    <w:rsid w:val="009A6453"/>
    <w:rsid w:val="009A7350"/>
    <w:rsid w:val="009A76FE"/>
    <w:rsid w:val="009A7BBC"/>
    <w:rsid w:val="009A7CDC"/>
    <w:rsid w:val="009B0036"/>
    <w:rsid w:val="009B02F4"/>
    <w:rsid w:val="009B051D"/>
    <w:rsid w:val="009B0738"/>
    <w:rsid w:val="009B08E4"/>
    <w:rsid w:val="009B0977"/>
    <w:rsid w:val="009B09EA"/>
    <w:rsid w:val="009B15F6"/>
    <w:rsid w:val="009B1713"/>
    <w:rsid w:val="009B1721"/>
    <w:rsid w:val="009B18F4"/>
    <w:rsid w:val="009B1E96"/>
    <w:rsid w:val="009B23DC"/>
    <w:rsid w:val="009B27F7"/>
    <w:rsid w:val="009B2E77"/>
    <w:rsid w:val="009B2FC4"/>
    <w:rsid w:val="009B3383"/>
    <w:rsid w:val="009B3F96"/>
    <w:rsid w:val="009B45A3"/>
    <w:rsid w:val="009B46C0"/>
    <w:rsid w:val="009B479F"/>
    <w:rsid w:val="009B4DFD"/>
    <w:rsid w:val="009B50FB"/>
    <w:rsid w:val="009B536C"/>
    <w:rsid w:val="009B62F2"/>
    <w:rsid w:val="009B6D9A"/>
    <w:rsid w:val="009B753E"/>
    <w:rsid w:val="009B78BC"/>
    <w:rsid w:val="009C0765"/>
    <w:rsid w:val="009C0F63"/>
    <w:rsid w:val="009C114E"/>
    <w:rsid w:val="009C12E9"/>
    <w:rsid w:val="009C1784"/>
    <w:rsid w:val="009C2054"/>
    <w:rsid w:val="009C24EB"/>
    <w:rsid w:val="009C2594"/>
    <w:rsid w:val="009C2A6B"/>
    <w:rsid w:val="009C2C3F"/>
    <w:rsid w:val="009C2DE0"/>
    <w:rsid w:val="009C2E5A"/>
    <w:rsid w:val="009C30A3"/>
    <w:rsid w:val="009C318D"/>
    <w:rsid w:val="009C341D"/>
    <w:rsid w:val="009C3B6A"/>
    <w:rsid w:val="009C3FD0"/>
    <w:rsid w:val="009C547C"/>
    <w:rsid w:val="009C5806"/>
    <w:rsid w:val="009C5F2F"/>
    <w:rsid w:val="009C6341"/>
    <w:rsid w:val="009C653D"/>
    <w:rsid w:val="009C68D1"/>
    <w:rsid w:val="009C6A9E"/>
    <w:rsid w:val="009C6C06"/>
    <w:rsid w:val="009C721E"/>
    <w:rsid w:val="009C7B7E"/>
    <w:rsid w:val="009C7E43"/>
    <w:rsid w:val="009D06E2"/>
    <w:rsid w:val="009D0ADA"/>
    <w:rsid w:val="009D0CF2"/>
    <w:rsid w:val="009D1292"/>
    <w:rsid w:val="009D192F"/>
    <w:rsid w:val="009D1F8D"/>
    <w:rsid w:val="009D1FAB"/>
    <w:rsid w:val="009D2787"/>
    <w:rsid w:val="009D2C24"/>
    <w:rsid w:val="009D3E39"/>
    <w:rsid w:val="009D4399"/>
    <w:rsid w:val="009D444A"/>
    <w:rsid w:val="009D464E"/>
    <w:rsid w:val="009D4E74"/>
    <w:rsid w:val="009D4F20"/>
    <w:rsid w:val="009D4F9E"/>
    <w:rsid w:val="009D56E3"/>
    <w:rsid w:val="009D5B81"/>
    <w:rsid w:val="009D62F2"/>
    <w:rsid w:val="009D7B2B"/>
    <w:rsid w:val="009E0201"/>
    <w:rsid w:val="009E05D6"/>
    <w:rsid w:val="009E0DD4"/>
    <w:rsid w:val="009E13D7"/>
    <w:rsid w:val="009E1E3D"/>
    <w:rsid w:val="009E202C"/>
    <w:rsid w:val="009E28B9"/>
    <w:rsid w:val="009E2E3B"/>
    <w:rsid w:val="009E3980"/>
    <w:rsid w:val="009E3B55"/>
    <w:rsid w:val="009E43F8"/>
    <w:rsid w:val="009E4599"/>
    <w:rsid w:val="009E469A"/>
    <w:rsid w:val="009E5682"/>
    <w:rsid w:val="009E5806"/>
    <w:rsid w:val="009E6012"/>
    <w:rsid w:val="009E6B24"/>
    <w:rsid w:val="009E7B1F"/>
    <w:rsid w:val="009E7C7C"/>
    <w:rsid w:val="009E7EDD"/>
    <w:rsid w:val="009F0907"/>
    <w:rsid w:val="009F0AA2"/>
    <w:rsid w:val="009F1097"/>
    <w:rsid w:val="009F1983"/>
    <w:rsid w:val="009F1F41"/>
    <w:rsid w:val="009F23BD"/>
    <w:rsid w:val="009F24FC"/>
    <w:rsid w:val="009F28DA"/>
    <w:rsid w:val="009F2913"/>
    <w:rsid w:val="009F38CE"/>
    <w:rsid w:val="009F3C50"/>
    <w:rsid w:val="009F3FDB"/>
    <w:rsid w:val="009F425D"/>
    <w:rsid w:val="009F42B3"/>
    <w:rsid w:val="009F48AA"/>
    <w:rsid w:val="009F4E34"/>
    <w:rsid w:val="009F532D"/>
    <w:rsid w:val="009F583B"/>
    <w:rsid w:val="009F5ABB"/>
    <w:rsid w:val="009F6253"/>
    <w:rsid w:val="009F6ACC"/>
    <w:rsid w:val="009F6B67"/>
    <w:rsid w:val="009F7087"/>
    <w:rsid w:val="009F76C4"/>
    <w:rsid w:val="009F7DA5"/>
    <w:rsid w:val="009F7F00"/>
    <w:rsid w:val="00A00672"/>
    <w:rsid w:val="00A00F9E"/>
    <w:rsid w:val="00A012DB"/>
    <w:rsid w:val="00A01594"/>
    <w:rsid w:val="00A01A2C"/>
    <w:rsid w:val="00A01B11"/>
    <w:rsid w:val="00A0283A"/>
    <w:rsid w:val="00A02887"/>
    <w:rsid w:val="00A02FCC"/>
    <w:rsid w:val="00A03F4D"/>
    <w:rsid w:val="00A04318"/>
    <w:rsid w:val="00A0457F"/>
    <w:rsid w:val="00A04927"/>
    <w:rsid w:val="00A0497C"/>
    <w:rsid w:val="00A04BBC"/>
    <w:rsid w:val="00A04BE9"/>
    <w:rsid w:val="00A04F4B"/>
    <w:rsid w:val="00A04FFB"/>
    <w:rsid w:val="00A0585A"/>
    <w:rsid w:val="00A05CBF"/>
    <w:rsid w:val="00A0695D"/>
    <w:rsid w:val="00A06E12"/>
    <w:rsid w:val="00A10AC7"/>
    <w:rsid w:val="00A10AEE"/>
    <w:rsid w:val="00A10DA5"/>
    <w:rsid w:val="00A11319"/>
    <w:rsid w:val="00A11A60"/>
    <w:rsid w:val="00A1248A"/>
    <w:rsid w:val="00A12A2D"/>
    <w:rsid w:val="00A13915"/>
    <w:rsid w:val="00A13C4E"/>
    <w:rsid w:val="00A13F87"/>
    <w:rsid w:val="00A14560"/>
    <w:rsid w:val="00A14628"/>
    <w:rsid w:val="00A14D7C"/>
    <w:rsid w:val="00A14E53"/>
    <w:rsid w:val="00A15418"/>
    <w:rsid w:val="00A16B7B"/>
    <w:rsid w:val="00A178E7"/>
    <w:rsid w:val="00A178FD"/>
    <w:rsid w:val="00A17F7B"/>
    <w:rsid w:val="00A20195"/>
    <w:rsid w:val="00A2025F"/>
    <w:rsid w:val="00A20303"/>
    <w:rsid w:val="00A2032E"/>
    <w:rsid w:val="00A20829"/>
    <w:rsid w:val="00A20C72"/>
    <w:rsid w:val="00A225C6"/>
    <w:rsid w:val="00A23B92"/>
    <w:rsid w:val="00A23F13"/>
    <w:rsid w:val="00A240BF"/>
    <w:rsid w:val="00A242E1"/>
    <w:rsid w:val="00A24643"/>
    <w:rsid w:val="00A249A0"/>
    <w:rsid w:val="00A249F7"/>
    <w:rsid w:val="00A24B24"/>
    <w:rsid w:val="00A24B51"/>
    <w:rsid w:val="00A24C80"/>
    <w:rsid w:val="00A24E4F"/>
    <w:rsid w:val="00A252C3"/>
    <w:rsid w:val="00A26FE8"/>
    <w:rsid w:val="00A2728D"/>
    <w:rsid w:val="00A3027C"/>
    <w:rsid w:val="00A30A76"/>
    <w:rsid w:val="00A30E02"/>
    <w:rsid w:val="00A30EB9"/>
    <w:rsid w:val="00A31367"/>
    <w:rsid w:val="00A32CAE"/>
    <w:rsid w:val="00A3371D"/>
    <w:rsid w:val="00A33C2B"/>
    <w:rsid w:val="00A341C0"/>
    <w:rsid w:val="00A348D3"/>
    <w:rsid w:val="00A3523E"/>
    <w:rsid w:val="00A352BC"/>
    <w:rsid w:val="00A3673A"/>
    <w:rsid w:val="00A3707D"/>
    <w:rsid w:val="00A37822"/>
    <w:rsid w:val="00A37C8C"/>
    <w:rsid w:val="00A37DB5"/>
    <w:rsid w:val="00A37E59"/>
    <w:rsid w:val="00A37FEC"/>
    <w:rsid w:val="00A40757"/>
    <w:rsid w:val="00A4079A"/>
    <w:rsid w:val="00A40A62"/>
    <w:rsid w:val="00A40BF6"/>
    <w:rsid w:val="00A40C5B"/>
    <w:rsid w:val="00A40D9E"/>
    <w:rsid w:val="00A40E17"/>
    <w:rsid w:val="00A40FEF"/>
    <w:rsid w:val="00A412B4"/>
    <w:rsid w:val="00A415A9"/>
    <w:rsid w:val="00A41767"/>
    <w:rsid w:val="00A417AF"/>
    <w:rsid w:val="00A42538"/>
    <w:rsid w:val="00A42AAE"/>
    <w:rsid w:val="00A42BE2"/>
    <w:rsid w:val="00A43680"/>
    <w:rsid w:val="00A43CB2"/>
    <w:rsid w:val="00A44286"/>
    <w:rsid w:val="00A4460E"/>
    <w:rsid w:val="00A446ED"/>
    <w:rsid w:val="00A44794"/>
    <w:rsid w:val="00A44E0A"/>
    <w:rsid w:val="00A44F16"/>
    <w:rsid w:val="00A4514A"/>
    <w:rsid w:val="00A4544B"/>
    <w:rsid w:val="00A45793"/>
    <w:rsid w:val="00A45AAA"/>
    <w:rsid w:val="00A4612A"/>
    <w:rsid w:val="00A461A9"/>
    <w:rsid w:val="00A463B8"/>
    <w:rsid w:val="00A46541"/>
    <w:rsid w:val="00A473A0"/>
    <w:rsid w:val="00A47613"/>
    <w:rsid w:val="00A50017"/>
    <w:rsid w:val="00A5097F"/>
    <w:rsid w:val="00A50A2F"/>
    <w:rsid w:val="00A517D9"/>
    <w:rsid w:val="00A51A64"/>
    <w:rsid w:val="00A51A85"/>
    <w:rsid w:val="00A53E27"/>
    <w:rsid w:val="00A54707"/>
    <w:rsid w:val="00A555A6"/>
    <w:rsid w:val="00A555DC"/>
    <w:rsid w:val="00A556DE"/>
    <w:rsid w:val="00A55B03"/>
    <w:rsid w:val="00A55DC7"/>
    <w:rsid w:val="00A56DCA"/>
    <w:rsid w:val="00A57135"/>
    <w:rsid w:val="00A57514"/>
    <w:rsid w:val="00A57824"/>
    <w:rsid w:val="00A606AE"/>
    <w:rsid w:val="00A608D2"/>
    <w:rsid w:val="00A60A7C"/>
    <w:rsid w:val="00A60AD2"/>
    <w:rsid w:val="00A60DB5"/>
    <w:rsid w:val="00A60EDD"/>
    <w:rsid w:val="00A62F1B"/>
    <w:rsid w:val="00A63118"/>
    <w:rsid w:val="00A63947"/>
    <w:rsid w:val="00A63F11"/>
    <w:rsid w:val="00A64063"/>
    <w:rsid w:val="00A64B40"/>
    <w:rsid w:val="00A64DD4"/>
    <w:rsid w:val="00A6526E"/>
    <w:rsid w:val="00A6574A"/>
    <w:rsid w:val="00A66962"/>
    <w:rsid w:val="00A66988"/>
    <w:rsid w:val="00A66F0B"/>
    <w:rsid w:val="00A67BA0"/>
    <w:rsid w:val="00A70049"/>
    <w:rsid w:val="00A700D2"/>
    <w:rsid w:val="00A71831"/>
    <w:rsid w:val="00A72295"/>
    <w:rsid w:val="00A72310"/>
    <w:rsid w:val="00A72611"/>
    <w:rsid w:val="00A72FE5"/>
    <w:rsid w:val="00A73091"/>
    <w:rsid w:val="00A7328B"/>
    <w:rsid w:val="00A73DA1"/>
    <w:rsid w:val="00A73EF0"/>
    <w:rsid w:val="00A74112"/>
    <w:rsid w:val="00A74B3D"/>
    <w:rsid w:val="00A7504B"/>
    <w:rsid w:val="00A75A7C"/>
    <w:rsid w:val="00A76160"/>
    <w:rsid w:val="00A76521"/>
    <w:rsid w:val="00A77154"/>
    <w:rsid w:val="00A77462"/>
    <w:rsid w:val="00A775F1"/>
    <w:rsid w:val="00A7792B"/>
    <w:rsid w:val="00A8034E"/>
    <w:rsid w:val="00A80774"/>
    <w:rsid w:val="00A80BD2"/>
    <w:rsid w:val="00A80E6F"/>
    <w:rsid w:val="00A81005"/>
    <w:rsid w:val="00A81543"/>
    <w:rsid w:val="00A81A39"/>
    <w:rsid w:val="00A825FF"/>
    <w:rsid w:val="00A8294F"/>
    <w:rsid w:val="00A8297B"/>
    <w:rsid w:val="00A8413F"/>
    <w:rsid w:val="00A841C9"/>
    <w:rsid w:val="00A84E08"/>
    <w:rsid w:val="00A851FA"/>
    <w:rsid w:val="00A85204"/>
    <w:rsid w:val="00A85602"/>
    <w:rsid w:val="00A85A19"/>
    <w:rsid w:val="00A8631F"/>
    <w:rsid w:val="00A87D49"/>
    <w:rsid w:val="00A90030"/>
    <w:rsid w:val="00A90046"/>
    <w:rsid w:val="00A90542"/>
    <w:rsid w:val="00A90A3E"/>
    <w:rsid w:val="00A90AD0"/>
    <w:rsid w:val="00A9101B"/>
    <w:rsid w:val="00A91662"/>
    <w:rsid w:val="00A91A56"/>
    <w:rsid w:val="00A91A5F"/>
    <w:rsid w:val="00A91FD2"/>
    <w:rsid w:val="00A93845"/>
    <w:rsid w:val="00A93DD6"/>
    <w:rsid w:val="00A93E60"/>
    <w:rsid w:val="00A94AD1"/>
    <w:rsid w:val="00A94ED5"/>
    <w:rsid w:val="00A953AC"/>
    <w:rsid w:val="00A95437"/>
    <w:rsid w:val="00A95523"/>
    <w:rsid w:val="00A95BDD"/>
    <w:rsid w:val="00A96705"/>
    <w:rsid w:val="00A968C9"/>
    <w:rsid w:val="00A9696C"/>
    <w:rsid w:val="00A977AE"/>
    <w:rsid w:val="00A977B0"/>
    <w:rsid w:val="00AA07C3"/>
    <w:rsid w:val="00AA0987"/>
    <w:rsid w:val="00AA1E72"/>
    <w:rsid w:val="00AA274A"/>
    <w:rsid w:val="00AA2F11"/>
    <w:rsid w:val="00AA3595"/>
    <w:rsid w:val="00AA3F6D"/>
    <w:rsid w:val="00AA3FD0"/>
    <w:rsid w:val="00AA4582"/>
    <w:rsid w:val="00AA5177"/>
    <w:rsid w:val="00AA54D3"/>
    <w:rsid w:val="00AA55C7"/>
    <w:rsid w:val="00AA5D97"/>
    <w:rsid w:val="00AA6367"/>
    <w:rsid w:val="00AA67FF"/>
    <w:rsid w:val="00AA6F87"/>
    <w:rsid w:val="00AA7215"/>
    <w:rsid w:val="00AA7CAF"/>
    <w:rsid w:val="00AB0046"/>
    <w:rsid w:val="00AB08CE"/>
    <w:rsid w:val="00AB0C38"/>
    <w:rsid w:val="00AB1750"/>
    <w:rsid w:val="00AB1878"/>
    <w:rsid w:val="00AB1C75"/>
    <w:rsid w:val="00AB1E7B"/>
    <w:rsid w:val="00AB241B"/>
    <w:rsid w:val="00AB24F1"/>
    <w:rsid w:val="00AB365E"/>
    <w:rsid w:val="00AB443B"/>
    <w:rsid w:val="00AB44CD"/>
    <w:rsid w:val="00AB4667"/>
    <w:rsid w:val="00AB46C3"/>
    <w:rsid w:val="00AB4E1B"/>
    <w:rsid w:val="00AB4EA7"/>
    <w:rsid w:val="00AB4FEF"/>
    <w:rsid w:val="00AB57F6"/>
    <w:rsid w:val="00AB5AF3"/>
    <w:rsid w:val="00AB5DEE"/>
    <w:rsid w:val="00AB5E4E"/>
    <w:rsid w:val="00AB62E6"/>
    <w:rsid w:val="00AB638D"/>
    <w:rsid w:val="00AB6B43"/>
    <w:rsid w:val="00AB6E51"/>
    <w:rsid w:val="00AB76E0"/>
    <w:rsid w:val="00AB7A71"/>
    <w:rsid w:val="00AB7C65"/>
    <w:rsid w:val="00AC0076"/>
    <w:rsid w:val="00AC0A98"/>
    <w:rsid w:val="00AC14EC"/>
    <w:rsid w:val="00AC1729"/>
    <w:rsid w:val="00AC2954"/>
    <w:rsid w:val="00AC2E5B"/>
    <w:rsid w:val="00AC3200"/>
    <w:rsid w:val="00AC3300"/>
    <w:rsid w:val="00AC414B"/>
    <w:rsid w:val="00AC41AA"/>
    <w:rsid w:val="00AC420C"/>
    <w:rsid w:val="00AC4342"/>
    <w:rsid w:val="00AC49A6"/>
    <w:rsid w:val="00AC50F2"/>
    <w:rsid w:val="00AC539F"/>
    <w:rsid w:val="00AC559C"/>
    <w:rsid w:val="00AC563F"/>
    <w:rsid w:val="00AC6147"/>
    <w:rsid w:val="00AC6261"/>
    <w:rsid w:val="00AC63A4"/>
    <w:rsid w:val="00AC645F"/>
    <w:rsid w:val="00AC6DDB"/>
    <w:rsid w:val="00AC779C"/>
    <w:rsid w:val="00AD06C1"/>
    <w:rsid w:val="00AD0B87"/>
    <w:rsid w:val="00AD119D"/>
    <w:rsid w:val="00AD12AC"/>
    <w:rsid w:val="00AD1536"/>
    <w:rsid w:val="00AD1C9E"/>
    <w:rsid w:val="00AD27B4"/>
    <w:rsid w:val="00AD32F7"/>
    <w:rsid w:val="00AD3A95"/>
    <w:rsid w:val="00AD3DB0"/>
    <w:rsid w:val="00AD44E5"/>
    <w:rsid w:val="00AD4519"/>
    <w:rsid w:val="00AD481E"/>
    <w:rsid w:val="00AD584B"/>
    <w:rsid w:val="00AD5DC0"/>
    <w:rsid w:val="00AD5ED6"/>
    <w:rsid w:val="00AD5F24"/>
    <w:rsid w:val="00AD5FD7"/>
    <w:rsid w:val="00AD6061"/>
    <w:rsid w:val="00AD63D3"/>
    <w:rsid w:val="00AD65BA"/>
    <w:rsid w:val="00AD6851"/>
    <w:rsid w:val="00AD6B5D"/>
    <w:rsid w:val="00AD7027"/>
    <w:rsid w:val="00AE0B67"/>
    <w:rsid w:val="00AE11ED"/>
    <w:rsid w:val="00AE120E"/>
    <w:rsid w:val="00AE17A1"/>
    <w:rsid w:val="00AE22BE"/>
    <w:rsid w:val="00AE244F"/>
    <w:rsid w:val="00AE24A2"/>
    <w:rsid w:val="00AE2AD5"/>
    <w:rsid w:val="00AE35CD"/>
    <w:rsid w:val="00AE5544"/>
    <w:rsid w:val="00AE6D16"/>
    <w:rsid w:val="00AE6E66"/>
    <w:rsid w:val="00AE70AA"/>
    <w:rsid w:val="00AE73F3"/>
    <w:rsid w:val="00AF0271"/>
    <w:rsid w:val="00AF099F"/>
    <w:rsid w:val="00AF1218"/>
    <w:rsid w:val="00AF1248"/>
    <w:rsid w:val="00AF12CD"/>
    <w:rsid w:val="00AF190A"/>
    <w:rsid w:val="00AF1BD5"/>
    <w:rsid w:val="00AF1CA0"/>
    <w:rsid w:val="00AF1E89"/>
    <w:rsid w:val="00AF1FFD"/>
    <w:rsid w:val="00AF205D"/>
    <w:rsid w:val="00AF242C"/>
    <w:rsid w:val="00AF26D1"/>
    <w:rsid w:val="00AF3022"/>
    <w:rsid w:val="00AF312A"/>
    <w:rsid w:val="00AF3241"/>
    <w:rsid w:val="00AF3A3C"/>
    <w:rsid w:val="00AF3E31"/>
    <w:rsid w:val="00AF4109"/>
    <w:rsid w:val="00AF4235"/>
    <w:rsid w:val="00AF489E"/>
    <w:rsid w:val="00AF5E98"/>
    <w:rsid w:val="00AF5ED0"/>
    <w:rsid w:val="00AF68D2"/>
    <w:rsid w:val="00AF732C"/>
    <w:rsid w:val="00AF74C8"/>
    <w:rsid w:val="00AF7B4A"/>
    <w:rsid w:val="00AF7DE7"/>
    <w:rsid w:val="00B00085"/>
    <w:rsid w:val="00B00966"/>
    <w:rsid w:val="00B00DE8"/>
    <w:rsid w:val="00B011F2"/>
    <w:rsid w:val="00B019A1"/>
    <w:rsid w:val="00B01EA9"/>
    <w:rsid w:val="00B0214A"/>
    <w:rsid w:val="00B0247F"/>
    <w:rsid w:val="00B02A41"/>
    <w:rsid w:val="00B02B0D"/>
    <w:rsid w:val="00B0343C"/>
    <w:rsid w:val="00B036E0"/>
    <w:rsid w:val="00B03AF2"/>
    <w:rsid w:val="00B03C0C"/>
    <w:rsid w:val="00B03D11"/>
    <w:rsid w:val="00B04268"/>
    <w:rsid w:val="00B049D7"/>
    <w:rsid w:val="00B04A6B"/>
    <w:rsid w:val="00B04F49"/>
    <w:rsid w:val="00B05191"/>
    <w:rsid w:val="00B0527D"/>
    <w:rsid w:val="00B0532B"/>
    <w:rsid w:val="00B05EF9"/>
    <w:rsid w:val="00B067C3"/>
    <w:rsid w:val="00B06952"/>
    <w:rsid w:val="00B06E02"/>
    <w:rsid w:val="00B07348"/>
    <w:rsid w:val="00B0772A"/>
    <w:rsid w:val="00B07CFD"/>
    <w:rsid w:val="00B100AC"/>
    <w:rsid w:val="00B103A6"/>
    <w:rsid w:val="00B1053E"/>
    <w:rsid w:val="00B10A61"/>
    <w:rsid w:val="00B110AB"/>
    <w:rsid w:val="00B110C1"/>
    <w:rsid w:val="00B12935"/>
    <w:rsid w:val="00B129B7"/>
    <w:rsid w:val="00B12B2D"/>
    <w:rsid w:val="00B13128"/>
    <w:rsid w:val="00B13721"/>
    <w:rsid w:val="00B13C4B"/>
    <w:rsid w:val="00B14EA1"/>
    <w:rsid w:val="00B16262"/>
    <w:rsid w:val="00B16A1D"/>
    <w:rsid w:val="00B16BE0"/>
    <w:rsid w:val="00B16C80"/>
    <w:rsid w:val="00B170A3"/>
    <w:rsid w:val="00B1783A"/>
    <w:rsid w:val="00B17ADD"/>
    <w:rsid w:val="00B17B02"/>
    <w:rsid w:val="00B20173"/>
    <w:rsid w:val="00B201FA"/>
    <w:rsid w:val="00B20366"/>
    <w:rsid w:val="00B209F4"/>
    <w:rsid w:val="00B20BB9"/>
    <w:rsid w:val="00B20F01"/>
    <w:rsid w:val="00B2122C"/>
    <w:rsid w:val="00B21242"/>
    <w:rsid w:val="00B213AF"/>
    <w:rsid w:val="00B2229F"/>
    <w:rsid w:val="00B223D6"/>
    <w:rsid w:val="00B22D04"/>
    <w:rsid w:val="00B23068"/>
    <w:rsid w:val="00B237FA"/>
    <w:rsid w:val="00B2387C"/>
    <w:rsid w:val="00B23E91"/>
    <w:rsid w:val="00B23FEF"/>
    <w:rsid w:val="00B24250"/>
    <w:rsid w:val="00B2429A"/>
    <w:rsid w:val="00B24950"/>
    <w:rsid w:val="00B24D9B"/>
    <w:rsid w:val="00B24E45"/>
    <w:rsid w:val="00B24EA2"/>
    <w:rsid w:val="00B2623A"/>
    <w:rsid w:val="00B26519"/>
    <w:rsid w:val="00B26E23"/>
    <w:rsid w:val="00B27B66"/>
    <w:rsid w:val="00B3002A"/>
    <w:rsid w:val="00B30909"/>
    <w:rsid w:val="00B30A94"/>
    <w:rsid w:val="00B30B56"/>
    <w:rsid w:val="00B30BDE"/>
    <w:rsid w:val="00B30CDD"/>
    <w:rsid w:val="00B30D6F"/>
    <w:rsid w:val="00B31061"/>
    <w:rsid w:val="00B31322"/>
    <w:rsid w:val="00B31606"/>
    <w:rsid w:val="00B31D49"/>
    <w:rsid w:val="00B32126"/>
    <w:rsid w:val="00B329C7"/>
    <w:rsid w:val="00B33729"/>
    <w:rsid w:val="00B33DC4"/>
    <w:rsid w:val="00B34F16"/>
    <w:rsid w:val="00B35DC3"/>
    <w:rsid w:val="00B3677B"/>
    <w:rsid w:val="00B369D3"/>
    <w:rsid w:val="00B36A14"/>
    <w:rsid w:val="00B3738D"/>
    <w:rsid w:val="00B378BA"/>
    <w:rsid w:val="00B37E05"/>
    <w:rsid w:val="00B37E10"/>
    <w:rsid w:val="00B37F65"/>
    <w:rsid w:val="00B37F8A"/>
    <w:rsid w:val="00B40B2F"/>
    <w:rsid w:val="00B40BE5"/>
    <w:rsid w:val="00B40C9B"/>
    <w:rsid w:val="00B40E83"/>
    <w:rsid w:val="00B414B6"/>
    <w:rsid w:val="00B4152F"/>
    <w:rsid w:val="00B417F7"/>
    <w:rsid w:val="00B418FB"/>
    <w:rsid w:val="00B41A74"/>
    <w:rsid w:val="00B41DDD"/>
    <w:rsid w:val="00B41FED"/>
    <w:rsid w:val="00B421CC"/>
    <w:rsid w:val="00B42914"/>
    <w:rsid w:val="00B42F86"/>
    <w:rsid w:val="00B432B9"/>
    <w:rsid w:val="00B4333D"/>
    <w:rsid w:val="00B43A5C"/>
    <w:rsid w:val="00B43CE3"/>
    <w:rsid w:val="00B43E7F"/>
    <w:rsid w:val="00B43EAE"/>
    <w:rsid w:val="00B44C1C"/>
    <w:rsid w:val="00B44D0D"/>
    <w:rsid w:val="00B45BCB"/>
    <w:rsid w:val="00B45C7E"/>
    <w:rsid w:val="00B45D1C"/>
    <w:rsid w:val="00B46240"/>
    <w:rsid w:val="00B4647C"/>
    <w:rsid w:val="00B466BC"/>
    <w:rsid w:val="00B4726C"/>
    <w:rsid w:val="00B47270"/>
    <w:rsid w:val="00B476DE"/>
    <w:rsid w:val="00B47730"/>
    <w:rsid w:val="00B50E5D"/>
    <w:rsid w:val="00B50F25"/>
    <w:rsid w:val="00B51846"/>
    <w:rsid w:val="00B5196B"/>
    <w:rsid w:val="00B5197A"/>
    <w:rsid w:val="00B51B93"/>
    <w:rsid w:val="00B52123"/>
    <w:rsid w:val="00B52192"/>
    <w:rsid w:val="00B529DF"/>
    <w:rsid w:val="00B529E2"/>
    <w:rsid w:val="00B52E1C"/>
    <w:rsid w:val="00B53232"/>
    <w:rsid w:val="00B534FA"/>
    <w:rsid w:val="00B538A7"/>
    <w:rsid w:val="00B53EDF"/>
    <w:rsid w:val="00B542CF"/>
    <w:rsid w:val="00B5493B"/>
    <w:rsid w:val="00B5559A"/>
    <w:rsid w:val="00B5581C"/>
    <w:rsid w:val="00B55E9E"/>
    <w:rsid w:val="00B565F1"/>
    <w:rsid w:val="00B566E2"/>
    <w:rsid w:val="00B56995"/>
    <w:rsid w:val="00B56E2A"/>
    <w:rsid w:val="00B5703E"/>
    <w:rsid w:val="00B573FE"/>
    <w:rsid w:val="00B57DC1"/>
    <w:rsid w:val="00B602EC"/>
    <w:rsid w:val="00B6079A"/>
    <w:rsid w:val="00B608A3"/>
    <w:rsid w:val="00B60FE8"/>
    <w:rsid w:val="00B6108F"/>
    <w:rsid w:val="00B6120B"/>
    <w:rsid w:val="00B61317"/>
    <w:rsid w:val="00B61869"/>
    <w:rsid w:val="00B61C85"/>
    <w:rsid w:val="00B62244"/>
    <w:rsid w:val="00B625C3"/>
    <w:rsid w:val="00B62756"/>
    <w:rsid w:val="00B6277B"/>
    <w:rsid w:val="00B63FEA"/>
    <w:rsid w:val="00B64205"/>
    <w:rsid w:val="00B6423F"/>
    <w:rsid w:val="00B64340"/>
    <w:rsid w:val="00B64364"/>
    <w:rsid w:val="00B646BF"/>
    <w:rsid w:val="00B64906"/>
    <w:rsid w:val="00B64941"/>
    <w:rsid w:val="00B654DB"/>
    <w:rsid w:val="00B657E8"/>
    <w:rsid w:val="00B65833"/>
    <w:rsid w:val="00B65A2D"/>
    <w:rsid w:val="00B65BBE"/>
    <w:rsid w:val="00B66261"/>
    <w:rsid w:val="00B66672"/>
    <w:rsid w:val="00B669A6"/>
    <w:rsid w:val="00B67B77"/>
    <w:rsid w:val="00B703AF"/>
    <w:rsid w:val="00B705CF"/>
    <w:rsid w:val="00B708FB"/>
    <w:rsid w:val="00B70BA5"/>
    <w:rsid w:val="00B711C3"/>
    <w:rsid w:val="00B716C8"/>
    <w:rsid w:val="00B721C7"/>
    <w:rsid w:val="00B727AD"/>
    <w:rsid w:val="00B72BCF"/>
    <w:rsid w:val="00B72E9D"/>
    <w:rsid w:val="00B7329D"/>
    <w:rsid w:val="00B73395"/>
    <w:rsid w:val="00B7353A"/>
    <w:rsid w:val="00B73850"/>
    <w:rsid w:val="00B738DC"/>
    <w:rsid w:val="00B7424D"/>
    <w:rsid w:val="00B74475"/>
    <w:rsid w:val="00B74858"/>
    <w:rsid w:val="00B74A09"/>
    <w:rsid w:val="00B74A3A"/>
    <w:rsid w:val="00B74D9E"/>
    <w:rsid w:val="00B75DEF"/>
    <w:rsid w:val="00B76064"/>
    <w:rsid w:val="00B76D84"/>
    <w:rsid w:val="00B77876"/>
    <w:rsid w:val="00B80307"/>
    <w:rsid w:val="00B809F2"/>
    <w:rsid w:val="00B80E88"/>
    <w:rsid w:val="00B81142"/>
    <w:rsid w:val="00B816B8"/>
    <w:rsid w:val="00B81BBB"/>
    <w:rsid w:val="00B82272"/>
    <w:rsid w:val="00B82360"/>
    <w:rsid w:val="00B82B78"/>
    <w:rsid w:val="00B832B4"/>
    <w:rsid w:val="00B834AF"/>
    <w:rsid w:val="00B83D67"/>
    <w:rsid w:val="00B83E74"/>
    <w:rsid w:val="00B843FE"/>
    <w:rsid w:val="00B84D8D"/>
    <w:rsid w:val="00B84E02"/>
    <w:rsid w:val="00B85F9A"/>
    <w:rsid w:val="00B8608B"/>
    <w:rsid w:val="00B86279"/>
    <w:rsid w:val="00B86568"/>
    <w:rsid w:val="00B8675F"/>
    <w:rsid w:val="00B86928"/>
    <w:rsid w:val="00B86B13"/>
    <w:rsid w:val="00B87435"/>
    <w:rsid w:val="00B87481"/>
    <w:rsid w:val="00B87995"/>
    <w:rsid w:val="00B90241"/>
    <w:rsid w:val="00B906CA"/>
    <w:rsid w:val="00B907BB"/>
    <w:rsid w:val="00B90A20"/>
    <w:rsid w:val="00B90D42"/>
    <w:rsid w:val="00B90E95"/>
    <w:rsid w:val="00B9144F"/>
    <w:rsid w:val="00B91922"/>
    <w:rsid w:val="00B9248C"/>
    <w:rsid w:val="00B924EC"/>
    <w:rsid w:val="00B92EF5"/>
    <w:rsid w:val="00B93219"/>
    <w:rsid w:val="00B93271"/>
    <w:rsid w:val="00B9341C"/>
    <w:rsid w:val="00B9351A"/>
    <w:rsid w:val="00B93839"/>
    <w:rsid w:val="00B93FD2"/>
    <w:rsid w:val="00B942AC"/>
    <w:rsid w:val="00B95110"/>
    <w:rsid w:val="00B95876"/>
    <w:rsid w:val="00B96172"/>
    <w:rsid w:val="00B9621C"/>
    <w:rsid w:val="00B9632D"/>
    <w:rsid w:val="00B9667A"/>
    <w:rsid w:val="00B97227"/>
    <w:rsid w:val="00B976B5"/>
    <w:rsid w:val="00B979B5"/>
    <w:rsid w:val="00BA057E"/>
    <w:rsid w:val="00BA099B"/>
    <w:rsid w:val="00BA0C6C"/>
    <w:rsid w:val="00BA1530"/>
    <w:rsid w:val="00BA1B27"/>
    <w:rsid w:val="00BA1E27"/>
    <w:rsid w:val="00BA2285"/>
    <w:rsid w:val="00BA288F"/>
    <w:rsid w:val="00BA28CC"/>
    <w:rsid w:val="00BA2FDE"/>
    <w:rsid w:val="00BA376D"/>
    <w:rsid w:val="00BA39C4"/>
    <w:rsid w:val="00BA5399"/>
    <w:rsid w:val="00BA5F4E"/>
    <w:rsid w:val="00BA5FDD"/>
    <w:rsid w:val="00BA6673"/>
    <w:rsid w:val="00BA6AD2"/>
    <w:rsid w:val="00BA6B11"/>
    <w:rsid w:val="00BA6D69"/>
    <w:rsid w:val="00BA6F24"/>
    <w:rsid w:val="00BA707E"/>
    <w:rsid w:val="00BA74D8"/>
    <w:rsid w:val="00BA7B75"/>
    <w:rsid w:val="00BA7B94"/>
    <w:rsid w:val="00BA7E6D"/>
    <w:rsid w:val="00BB059C"/>
    <w:rsid w:val="00BB0DAE"/>
    <w:rsid w:val="00BB0DBD"/>
    <w:rsid w:val="00BB0FA6"/>
    <w:rsid w:val="00BB1069"/>
    <w:rsid w:val="00BB106E"/>
    <w:rsid w:val="00BB11E9"/>
    <w:rsid w:val="00BB14D2"/>
    <w:rsid w:val="00BB1BC3"/>
    <w:rsid w:val="00BB27DB"/>
    <w:rsid w:val="00BB2AD2"/>
    <w:rsid w:val="00BB3D38"/>
    <w:rsid w:val="00BB3D3C"/>
    <w:rsid w:val="00BB45A9"/>
    <w:rsid w:val="00BB4A49"/>
    <w:rsid w:val="00BB4F85"/>
    <w:rsid w:val="00BB5024"/>
    <w:rsid w:val="00BB55DF"/>
    <w:rsid w:val="00BB5AD6"/>
    <w:rsid w:val="00BB5FA3"/>
    <w:rsid w:val="00BB69B8"/>
    <w:rsid w:val="00BB6BEE"/>
    <w:rsid w:val="00BB6DC9"/>
    <w:rsid w:val="00BB6EB8"/>
    <w:rsid w:val="00BB76BF"/>
    <w:rsid w:val="00BC02C9"/>
    <w:rsid w:val="00BC0416"/>
    <w:rsid w:val="00BC11F6"/>
    <w:rsid w:val="00BC1E67"/>
    <w:rsid w:val="00BC2554"/>
    <w:rsid w:val="00BC2583"/>
    <w:rsid w:val="00BC2620"/>
    <w:rsid w:val="00BC280E"/>
    <w:rsid w:val="00BC2D54"/>
    <w:rsid w:val="00BC3134"/>
    <w:rsid w:val="00BC376A"/>
    <w:rsid w:val="00BC392D"/>
    <w:rsid w:val="00BC4CB2"/>
    <w:rsid w:val="00BC6426"/>
    <w:rsid w:val="00BC65A3"/>
    <w:rsid w:val="00BC6902"/>
    <w:rsid w:val="00BC6B51"/>
    <w:rsid w:val="00BC7265"/>
    <w:rsid w:val="00BC7453"/>
    <w:rsid w:val="00BC7C00"/>
    <w:rsid w:val="00BD01E6"/>
    <w:rsid w:val="00BD0223"/>
    <w:rsid w:val="00BD0265"/>
    <w:rsid w:val="00BD0457"/>
    <w:rsid w:val="00BD0C34"/>
    <w:rsid w:val="00BD0DFE"/>
    <w:rsid w:val="00BD174A"/>
    <w:rsid w:val="00BD1F2A"/>
    <w:rsid w:val="00BD209D"/>
    <w:rsid w:val="00BD25FB"/>
    <w:rsid w:val="00BD2711"/>
    <w:rsid w:val="00BD369D"/>
    <w:rsid w:val="00BD3834"/>
    <w:rsid w:val="00BD3B54"/>
    <w:rsid w:val="00BD3B97"/>
    <w:rsid w:val="00BD3E27"/>
    <w:rsid w:val="00BD462D"/>
    <w:rsid w:val="00BD4784"/>
    <w:rsid w:val="00BD4A93"/>
    <w:rsid w:val="00BD4A9D"/>
    <w:rsid w:val="00BD4E44"/>
    <w:rsid w:val="00BD6A65"/>
    <w:rsid w:val="00BD6C15"/>
    <w:rsid w:val="00BD756E"/>
    <w:rsid w:val="00BD76D4"/>
    <w:rsid w:val="00BD775F"/>
    <w:rsid w:val="00BD7A60"/>
    <w:rsid w:val="00BE040E"/>
    <w:rsid w:val="00BE16B2"/>
    <w:rsid w:val="00BE1C49"/>
    <w:rsid w:val="00BE1D60"/>
    <w:rsid w:val="00BE1D66"/>
    <w:rsid w:val="00BE1F9B"/>
    <w:rsid w:val="00BE2024"/>
    <w:rsid w:val="00BE2100"/>
    <w:rsid w:val="00BE2721"/>
    <w:rsid w:val="00BE3398"/>
    <w:rsid w:val="00BE3676"/>
    <w:rsid w:val="00BE4005"/>
    <w:rsid w:val="00BE44BE"/>
    <w:rsid w:val="00BE4E66"/>
    <w:rsid w:val="00BE52A7"/>
    <w:rsid w:val="00BE564B"/>
    <w:rsid w:val="00BE58FC"/>
    <w:rsid w:val="00BE5A27"/>
    <w:rsid w:val="00BE5C73"/>
    <w:rsid w:val="00BE6677"/>
    <w:rsid w:val="00BE6D00"/>
    <w:rsid w:val="00BE7049"/>
    <w:rsid w:val="00BE708F"/>
    <w:rsid w:val="00BE74A3"/>
    <w:rsid w:val="00BE7723"/>
    <w:rsid w:val="00BE7A79"/>
    <w:rsid w:val="00BF10F5"/>
    <w:rsid w:val="00BF1593"/>
    <w:rsid w:val="00BF196E"/>
    <w:rsid w:val="00BF2045"/>
    <w:rsid w:val="00BF3625"/>
    <w:rsid w:val="00BF3781"/>
    <w:rsid w:val="00BF3966"/>
    <w:rsid w:val="00BF3A53"/>
    <w:rsid w:val="00BF3B6B"/>
    <w:rsid w:val="00BF41E2"/>
    <w:rsid w:val="00BF466D"/>
    <w:rsid w:val="00BF5443"/>
    <w:rsid w:val="00BF5729"/>
    <w:rsid w:val="00BF5936"/>
    <w:rsid w:val="00BF62D3"/>
    <w:rsid w:val="00BF662F"/>
    <w:rsid w:val="00BF7316"/>
    <w:rsid w:val="00BF7DD9"/>
    <w:rsid w:val="00C0025C"/>
    <w:rsid w:val="00C0099A"/>
    <w:rsid w:val="00C00B59"/>
    <w:rsid w:val="00C00CBC"/>
    <w:rsid w:val="00C012E6"/>
    <w:rsid w:val="00C02276"/>
    <w:rsid w:val="00C024A9"/>
    <w:rsid w:val="00C02536"/>
    <w:rsid w:val="00C02C91"/>
    <w:rsid w:val="00C032BF"/>
    <w:rsid w:val="00C03941"/>
    <w:rsid w:val="00C0398A"/>
    <w:rsid w:val="00C03A0A"/>
    <w:rsid w:val="00C03B14"/>
    <w:rsid w:val="00C04181"/>
    <w:rsid w:val="00C0419A"/>
    <w:rsid w:val="00C04331"/>
    <w:rsid w:val="00C04B0A"/>
    <w:rsid w:val="00C04E9D"/>
    <w:rsid w:val="00C05184"/>
    <w:rsid w:val="00C06F91"/>
    <w:rsid w:val="00C07085"/>
    <w:rsid w:val="00C07293"/>
    <w:rsid w:val="00C07C2B"/>
    <w:rsid w:val="00C1022A"/>
    <w:rsid w:val="00C10F9E"/>
    <w:rsid w:val="00C12A73"/>
    <w:rsid w:val="00C13515"/>
    <w:rsid w:val="00C13E1A"/>
    <w:rsid w:val="00C14078"/>
    <w:rsid w:val="00C14213"/>
    <w:rsid w:val="00C14CAF"/>
    <w:rsid w:val="00C1518C"/>
    <w:rsid w:val="00C156DF"/>
    <w:rsid w:val="00C157CD"/>
    <w:rsid w:val="00C15913"/>
    <w:rsid w:val="00C15AEF"/>
    <w:rsid w:val="00C16110"/>
    <w:rsid w:val="00C1636B"/>
    <w:rsid w:val="00C1715B"/>
    <w:rsid w:val="00C17244"/>
    <w:rsid w:val="00C173DC"/>
    <w:rsid w:val="00C17491"/>
    <w:rsid w:val="00C17775"/>
    <w:rsid w:val="00C20200"/>
    <w:rsid w:val="00C2042B"/>
    <w:rsid w:val="00C205BF"/>
    <w:rsid w:val="00C20631"/>
    <w:rsid w:val="00C20868"/>
    <w:rsid w:val="00C22592"/>
    <w:rsid w:val="00C2259C"/>
    <w:rsid w:val="00C22672"/>
    <w:rsid w:val="00C227C7"/>
    <w:rsid w:val="00C22C28"/>
    <w:rsid w:val="00C23B2D"/>
    <w:rsid w:val="00C23ED2"/>
    <w:rsid w:val="00C2406A"/>
    <w:rsid w:val="00C2409D"/>
    <w:rsid w:val="00C248F3"/>
    <w:rsid w:val="00C24A17"/>
    <w:rsid w:val="00C24AE4"/>
    <w:rsid w:val="00C24DBE"/>
    <w:rsid w:val="00C25290"/>
    <w:rsid w:val="00C25683"/>
    <w:rsid w:val="00C25FA5"/>
    <w:rsid w:val="00C26351"/>
    <w:rsid w:val="00C26FED"/>
    <w:rsid w:val="00C27662"/>
    <w:rsid w:val="00C27DB0"/>
    <w:rsid w:val="00C27E86"/>
    <w:rsid w:val="00C304B9"/>
    <w:rsid w:val="00C30D70"/>
    <w:rsid w:val="00C30F29"/>
    <w:rsid w:val="00C311D2"/>
    <w:rsid w:val="00C3169F"/>
    <w:rsid w:val="00C31729"/>
    <w:rsid w:val="00C31A7B"/>
    <w:rsid w:val="00C31DA6"/>
    <w:rsid w:val="00C320D1"/>
    <w:rsid w:val="00C32154"/>
    <w:rsid w:val="00C331F6"/>
    <w:rsid w:val="00C3320C"/>
    <w:rsid w:val="00C33489"/>
    <w:rsid w:val="00C33A80"/>
    <w:rsid w:val="00C346C5"/>
    <w:rsid w:val="00C34BD6"/>
    <w:rsid w:val="00C34BF2"/>
    <w:rsid w:val="00C34E44"/>
    <w:rsid w:val="00C35849"/>
    <w:rsid w:val="00C35C17"/>
    <w:rsid w:val="00C35D84"/>
    <w:rsid w:val="00C36431"/>
    <w:rsid w:val="00C3669A"/>
    <w:rsid w:val="00C36700"/>
    <w:rsid w:val="00C36718"/>
    <w:rsid w:val="00C3675D"/>
    <w:rsid w:val="00C36DB2"/>
    <w:rsid w:val="00C370BE"/>
    <w:rsid w:val="00C370E6"/>
    <w:rsid w:val="00C3726E"/>
    <w:rsid w:val="00C373E3"/>
    <w:rsid w:val="00C3755D"/>
    <w:rsid w:val="00C37918"/>
    <w:rsid w:val="00C3796D"/>
    <w:rsid w:val="00C4018A"/>
    <w:rsid w:val="00C40557"/>
    <w:rsid w:val="00C41216"/>
    <w:rsid w:val="00C41F11"/>
    <w:rsid w:val="00C420F6"/>
    <w:rsid w:val="00C422BA"/>
    <w:rsid w:val="00C423D5"/>
    <w:rsid w:val="00C4277C"/>
    <w:rsid w:val="00C42992"/>
    <w:rsid w:val="00C42B66"/>
    <w:rsid w:val="00C430C7"/>
    <w:rsid w:val="00C431F9"/>
    <w:rsid w:val="00C4338C"/>
    <w:rsid w:val="00C4395A"/>
    <w:rsid w:val="00C43C1A"/>
    <w:rsid w:val="00C43EE2"/>
    <w:rsid w:val="00C441F1"/>
    <w:rsid w:val="00C445D2"/>
    <w:rsid w:val="00C44DA1"/>
    <w:rsid w:val="00C44EEA"/>
    <w:rsid w:val="00C454D3"/>
    <w:rsid w:val="00C45602"/>
    <w:rsid w:val="00C45F7B"/>
    <w:rsid w:val="00C45F9A"/>
    <w:rsid w:val="00C47283"/>
    <w:rsid w:val="00C4733D"/>
    <w:rsid w:val="00C474EF"/>
    <w:rsid w:val="00C47586"/>
    <w:rsid w:val="00C47D8D"/>
    <w:rsid w:val="00C50227"/>
    <w:rsid w:val="00C50296"/>
    <w:rsid w:val="00C50631"/>
    <w:rsid w:val="00C5090E"/>
    <w:rsid w:val="00C50B51"/>
    <w:rsid w:val="00C50B99"/>
    <w:rsid w:val="00C50DB6"/>
    <w:rsid w:val="00C514DD"/>
    <w:rsid w:val="00C5196B"/>
    <w:rsid w:val="00C522AE"/>
    <w:rsid w:val="00C52625"/>
    <w:rsid w:val="00C52B8B"/>
    <w:rsid w:val="00C52C8E"/>
    <w:rsid w:val="00C52EE1"/>
    <w:rsid w:val="00C536AD"/>
    <w:rsid w:val="00C53A72"/>
    <w:rsid w:val="00C53B42"/>
    <w:rsid w:val="00C53FE2"/>
    <w:rsid w:val="00C54248"/>
    <w:rsid w:val="00C5430D"/>
    <w:rsid w:val="00C54440"/>
    <w:rsid w:val="00C544EB"/>
    <w:rsid w:val="00C54510"/>
    <w:rsid w:val="00C54573"/>
    <w:rsid w:val="00C54A11"/>
    <w:rsid w:val="00C54BB2"/>
    <w:rsid w:val="00C54FCA"/>
    <w:rsid w:val="00C55A10"/>
    <w:rsid w:val="00C562E5"/>
    <w:rsid w:val="00C5641A"/>
    <w:rsid w:val="00C56BDE"/>
    <w:rsid w:val="00C56F84"/>
    <w:rsid w:val="00C57040"/>
    <w:rsid w:val="00C5705A"/>
    <w:rsid w:val="00C570F8"/>
    <w:rsid w:val="00C571FE"/>
    <w:rsid w:val="00C5757B"/>
    <w:rsid w:val="00C60682"/>
    <w:rsid w:val="00C61620"/>
    <w:rsid w:val="00C6163A"/>
    <w:rsid w:val="00C61C61"/>
    <w:rsid w:val="00C61CDC"/>
    <w:rsid w:val="00C62849"/>
    <w:rsid w:val="00C62B54"/>
    <w:rsid w:val="00C63188"/>
    <w:rsid w:val="00C637A9"/>
    <w:rsid w:val="00C63BFF"/>
    <w:rsid w:val="00C63E05"/>
    <w:rsid w:val="00C64633"/>
    <w:rsid w:val="00C646EF"/>
    <w:rsid w:val="00C647A9"/>
    <w:rsid w:val="00C652D4"/>
    <w:rsid w:val="00C65416"/>
    <w:rsid w:val="00C65450"/>
    <w:rsid w:val="00C659A2"/>
    <w:rsid w:val="00C660F5"/>
    <w:rsid w:val="00C664A3"/>
    <w:rsid w:val="00C66B1D"/>
    <w:rsid w:val="00C66F48"/>
    <w:rsid w:val="00C66F7C"/>
    <w:rsid w:val="00C67DE6"/>
    <w:rsid w:val="00C70400"/>
    <w:rsid w:val="00C707C2"/>
    <w:rsid w:val="00C70992"/>
    <w:rsid w:val="00C70DD2"/>
    <w:rsid w:val="00C70E7B"/>
    <w:rsid w:val="00C70FB7"/>
    <w:rsid w:val="00C7158C"/>
    <w:rsid w:val="00C71A83"/>
    <w:rsid w:val="00C71C93"/>
    <w:rsid w:val="00C71ECC"/>
    <w:rsid w:val="00C7257C"/>
    <w:rsid w:val="00C72624"/>
    <w:rsid w:val="00C72B02"/>
    <w:rsid w:val="00C73541"/>
    <w:rsid w:val="00C73808"/>
    <w:rsid w:val="00C7384F"/>
    <w:rsid w:val="00C73984"/>
    <w:rsid w:val="00C74044"/>
    <w:rsid w:val="00C74314"/>
    <w:rsid w:val="00C747F6"/>
    <w:rsid w:val="00C74DAC"/>
    <w:rsid w:val="00C75F99"/>
    <w:rsid w:val="00C76712"/>
    <w:rsid w:val="00C76DEC"/>
    <w:rsid w:val="00C76F0B"/>
    <w:rsid w:val="00C772BA"/>
    <w:rsid w:val="00C77324"/>
    <w:rsid w:val="00C77A13"/>
    <w:rsid w:val="00C80BC1"/>
    <w:rsid w:val="00C80C93"/>
    <w:rsid w:val="00C80F1A"/>
    <w:rsid w:val="00C813BD"/>
    <w:rsid w:val="00C818E7"/>
    <w:rsid w:val="00C81F7E"/>
    <w:rsid w:val="00C823FA"/>
    <w:rsid w:val="00C828FC"/>
    <w:rsid w:val="00C82AA2"/>
    <w:rsid w:val="00C82AD3"/>
    <w:rsid w:val="00C83494"/>
    <w:rsid w:val="00C83498"/>
    <w:rsid w:val="00C846DA"/>
    <w:rsid w:val="00C84919"/>
    <w:rsid w:val="00C853E8"/>
    <w:rsid w:val="00C85452"/>
    <w:rsid w:val="00C860D0"/>
    <w:rsid w:val="00C8701E"/>
    <w:rsid w:val="00C873BC"/>
    <w:rsid w:val="00C87725"/>
    <w:rsid w:val="00C87E68"/>
    <w:rsid w:val="00C87F8A"/>
    <w:rsid w:val="00C9046A"/>
    <w:rsid w:val="00C9048F"/>
    <w:rsid w:val="00C90F2E"/>
    <w:rsid w:val="00C910DB"/>
    <w:rsid w:val="00C91166"/>
    <w:rsid w:val="00C913C1"/>
    <w:rsid w:val="00C917EE"/>
    <w:rsid w:val="00C9192D"/>
    <w:rsid w:val="00C91A45"/>
    <w:rsid w:val="00C92174"/>
    <w:rsid w:val="00C93859"/>
    <w:rsid w:val="00C93B71"/>
    <w:rsid w:val="00C942FA"/>
    <w:rsid w:val="00C94BBF"/>
    <w:rsid w:val="00C94EC9"/>
    <w:rsid w:val="00C956DB"/>
    <w:rsid w:val="00C95C27"/>
    <w:rsid w:val="00C95DF8"/>
    <w:rsid w:val="00C95E32"/>
    <w:rsid w:val="00C9617A"/>
    <w:rsid w:val="00C96244"/>
    <w:rsid w:val="00C9678B"/>
    <w:rsid w:val="00C9680B"/>
    <w:rsid w:val="00C96FF7"/>
    <w:rsid w:val="00C977E8"/>
    <w:rsid w:val="00C97F61"/>
    <w:rsid w:val="00CA0B2C"/>
    <w:rsid w:val="00CA0F20"/>
    <w:rsid w:val="00CA179F"/>
    <w:rsid w:val="00CA17BD"/>
    <w:rsid w:val="00CA1A2A"/>
    <w:rsid w:val="00CA1D02"/>
    <w:rsid w:val="00CA1DC5"/>
    <w:rsid w:val="00CA22C4"/>
    <w:rsid w:val="00CA2753"/>
    <w:rsid w:val="00CA2BE7"/>
    <w:rsid w:val="00CA2D3F"/>
    <w:rsid w:val="00CA2F18"/>
    <w:rsid w:val="00CA34ED"/>
    <w:rsid w:val="00CA3F79"/>
    <w:rsid w:val="00CA413E"/>
    <w:rsid w:val="00CA4187"/>
    <w:rsid w:val="00CA41AB"/>
    <w:rsid w:val="00CA45AD"/>
    <w:rsid w:val="00CA46B8"/>
    <w:rsid w:val="00CA4B97"/>
    <w:rsid w:val="00CA4D46"/>
    <w:rsid w:val="00CA5E8D"/>
    <w:rsid w:val="00CA680E"/>
    <w:rsid w:val="00CA68C9"/>
    <w:rsid w:val="00CA69AE"/>
    <w:rsid w:val="00CA78F9"/>
    <w:rsid w:val="00CA7C01"/>
    <w:rsid w:val="00CA7CA8"/>
    <w:rsid w:val="00CA7EB4"/>
    <w:rsid w:val="00CB019A"/>
    <w:rsid w:val="00CB0ED7"/>
    <w:rsid w:val="00CB15CA"/>
    <w:rsid w:val="00CB19A5"/>
    <w:rsid w:val="00CB1C7E"/>
    <w:rsid w:val="00CB2E15"/>
    <w:rsid w:val="00CB2E79"/>
    <w:rsid w:val="00CB2FA2"/>
    <w:rsid w:val="00CB3013"/>
    <w:rsid w:val="00CB312F"/>
    <w:rsid w:val="00CB39AF"/>
    <w:rsid w:val="00CB3AA1"/>
    <w:rsid w:val="00CB3CB9"/>
    <w:rsid w:val="00CB49E4"/>
    <w:rsid w:val="00CB54D4"/>
    <w:rsid w:val="00CB57A1"/>
    <w:rsid w:val="00CB57D8"/>
    <w:rsid w:val="00CB59ED"/>
    <w:rsid w:val="00CB5A40"/>
    <w:rsid w:val="00CB5EAF"/>
    <w:rsid w:val="00CB5FC6"/>
    <w:rsid w:val="00CB6ED8"/>
    <w:rsid w:val="00CB7771"/>
    <w:rsid w:val="00CB7A7A"/>
    <w:rsid w:val="00CB7FEE"/>
    <w:rsid w:val="00CC0687"/>
    <w:rsid w:val="00CC0B06"/>
    <w:rsid w:val="00CC1AAA"/>
    <w:rsid w:val="00CC1E51"/>
    <w:rsid w:val="00CC1F5F"/>
    <w:rsid w:val="00CC20C0"/>
    <w:rsid w:val="00CC2882"/>
    <w:rsid w:val="00CC2F61"/>
    <w:rsid w:val="00CC3186"/>
    <w:rsid w:val="00CC341C"/>
    <w:rsid w:val="00CC4022"/>
    <w:rsid w:val="00CC404A"/>
    <w:rsid w:val="00CC4216"/>
    <w:rsid w:val="00CC449A"/>
    <w:rsid w:val="00CC4BE9"/>
    <w:rsid w:val="00CC4D42"/>
    <w:rsid w:val="00CC51BE"/>
    <w:rsid w:val="00CC52AC"/>
    <w:rsid w:val="00CC5B57"/>
    <w:rsid w:val="00CC5BFC"/>
    <w:rsid w:val="00CC5F6E"/>
    <w:rsid w:val="00CC75BE"/>
    <w:rsid w:val="00CC75D4"/>
    <w:rsid w:val="00CC79D5"/>
    <w:rsid w:val="00CC7D7B"/>
    <w:rsid w:val="00CC7D8F"/>
    <w:rsid w:val="00CD031C"/>
    <w:rsid w:val="00CD03D6"/>
    <w:rsid w:val="00CD070B"/>
    <w:rsid w:val="00CD1BF5"/>
    <w:rsid w:val="00CD1C94"/>
    <w:rsid w:val="00CD22D3"/>
    <w:rsid w:val="00CD2A1F"/>
    <w:rsid w:val="00CD2F95"/>
    <w:rsid w:val="00CD3064"/>
    <w:rsid w:val="00CD3441"/>
    <w:rsid w:val="00CD35CC"/>
    <w:rsid w:val="00CD390B"/>
    <w:rsid w:val="00CD394B"/>
    <w:rsid w:val="00CD4152"/>
    <w:rsid w:val="00CD43A3"/>
    <w:rsid w:val="00CD4483"/>
    <w:rsid w:val="00CD46ED"/>
    <w:rsid w:val="00CD477E"/>
    <w:rsid w:val="00CD4B7F"/>
    <w:rsid w:val="00CD4C41"/>
    <w:rsid w:val="00CD5355"/>
    <w:rsid w:val="00CD5CE1"/>
    <w:rsid w:val="00CD5D72"/>
    <w:rsid w:val="00CD60FA"/>
    <w:rsid w:val="00CD61A5"/>
    <w:rsid w:val="00CD628F"/>
    <w:rsid w:val="00CD62FE"/>
    <w:rsid w:val="00CD766B"/>
    <w:rsid w:val="00CD7D58"/>
    <w:rsid w:val="00CD7EB6"/>
    <w:rsid w:val="00CD7FBB"/>
    <w:rsid w:val="00CE0350"/>
    <w:rsid w:val="00CE04DE"/>
    <w:rsid w:val="00CE09A2"/>
    <w:rsid w:val="00CE0E84"/>
    <w:rsid w:val="00CE10B1"/>
    <w:rsid w:val="00CE14D6"/>
    <w:rsid w:val="00CE153D"/>
    <w:rsid w:val="00CE1D7B"/>
    <w:rsid w:val="00CE2118"/>
    <w:rsid w:val="00CE243F"/>
    <w:rsid w:val="00CE25FD"/>
    <w:rsid w:val="00CE3175"/>
    <w:rsid w:val="00CE3293"/>
    <w:rsid w:val="00CE3C6D"/>
    <w:rsid w:val="00CE3C82"/>
    <w:rsid w:val="00CE43B1"/>
    <w:rsid w:val="00CE45DB"/>
    <w:rsid w:val="00CE4BCF"/>
    <w:rsid w:val="00CE537D"/>
    <w:rsid w:val="00CE5414"/>
    <w:rsid w:val="00CE55AA"/>
    <w:rsid w:val="00CE5E44"/>
    <w:rsid w:val="00CE6540"/>
    <w:rsid w:val="00CE6D9E"/>
    <w:rsid w:val="00CE6DB4"/>
    <w:rsid w:val="00CE794B"/>
    <w:rsid w:val="00CE7C39"/>
    <w:rsid w:val="00CF05EA"/>
    <w:rsid w:val="00CF088B"/>
    <w:rsid w:val="00CF0FB9"/>
    <w:rsid w:val="00CF248F"/>
    <w:rsid w:val="00CF2AB7"/>
    <w:rsid w:val="00CF3394"/>
    <w:rsid w:val="00CF3522"/>
    <w:rsid w:val="00CF370F"/>
    <w:rsid w:val="00CF3F37"/>
    <w:rsid w:val="00CF4A46"/>
    <w:rsid w:val="00CF4BD8"/>
    <w:rsid w:val="00CF581A"/>
    <w:rsid w:val="00CF6248"/>
    <w:rsid w:val="00CF63D1"/>
    <w:rsid w:val="00CF74C0"/>
    <w:rsid w:val="00CF7897"/>
    <w:rsid w:val="00CF7997"/>
    <w:rsid w:val="00CF7BFA"/>
    <w:rsid w:val="00D009E0"/>
    <w:rsid w:val="00D00DD6"/>
    <w:rsid w:val="00D01230"/>
    <w:rsid w:val="00D013D9"/>
    <w:rsid w:val="00D017A2"/>
    <w:rsid w:val="00D019BF"/>
    <w:rsid w:val="00D01E38"/>
    <w:rsid w:val="00D022BA"/>
    <w:rsid w:val="00D026AB"/>
    <w:rsid w:val="00D0283B"/>
    <w:rsid w:val="00D02ABB"/>
    <w:rsid w:val="00D03A98"/>
    <w:rsid w:val="00D03BB9"/>
    <w:rsid w:val="00D03D4D"/>
    <w:rsid w:val="00D03E69"/>
    <w:rsid w:val="00D03F6C"/>
    <w:rsid w:val="00D0415C"/>
    <w:rsid w:val="00D04983"/>
    <w:rsid w:val="00D05778"/>
    <w:rsid w:val="00D06937"/>
    <w:rsid w:val="00D070FF"/>
    <w:rsid w:val="00D075A4"/>
    <w:rsid w:val="00D07D94"/>
    <w:rsid w:val="00D10407"/>
    <w:rsid w:val="00D1058E"/>
    <w:rsid w:val="00D10AE5"/>
    <w:rsid w:val="00D11433"/>
    <w:rsid w:val="00D11573"/>
    <w:rsid w:val="00D11EC5"/>
    <w:rsid w:val="00D12059"/>
    <w:rsid w:val="00D122E6"/>
    <w:rsid w:val="00D1239D"/>
    <w:rsid w:val="00D125DE"/>
    <w:rsid w:val="00D12DF5"/>
    <w:rsid w:val="00D13777"/>
    <w:rsid w:val="00D13BB6"/>
    <w:rsid w:val="00D13C2D"/>
    <w:rsid w:val="00D1459C"/>
    <w:rsid w:val="00D151F0"/>
    <w:rsid w:val="00D156B6"/>
    <w:rsid w:val="00D15F8E"/>
    <w:rsid w:val="00D1690E"/>
    <w:rsid w:val="00D172D8"/>
    <w:rsid w:val="00D173A5"/>
    <w:rsid w:val="00D178E9"/>
    <w:rsid w:val="00D17AB7"/>
    <w:rsid w:val="00D17B3F"/>
    <w:rsid w:val="00D17E74"/>
    <w:rsid w:val="00D17F1D"/>
    <w:rsid w:val="00D219D5"/>
    <w:rsid w:val="00D2203E"/>
    <w:rsid w:val="00D2231C"/>
    <w:rsid w:val="00D2254A"/>
    <w:rsid w:val="00D22704"/>
    <w:rsid w:val="00D230FC"/>
    <w:rsid w:val="00D23513"/>
    <w:rsid w:val="00D237C9"/>
    <w:rsid w:val="00D23C31"/>
    <w:rsid w:val="00D242CF"/>
    <w:rsid w:val="00D24573"/>
    <w:rsid w:val="00D245E2"/>
    <w:rsid w:val="00D24A53"/>
    <w:rsid w:val="00D24C69"/>
    <w:rsid w:val="00D251CF"/>
    <w:rsid w:val="00D252B8"/>
    <w:rsid w:val="00D26621"/>
    <w:rsid w:val="00D267D6"/>
    <w:rsid w:val="00D26BEC"/>
    <w:rsid w:val="00D2729A"/>
    <w:rsid w:val="00D27506"/>
    <w:rsid w:val="00D27E6C"/>
    <w:rsid w:val="00D30F5A"/>
    <w:rsid w:val="00D3198D"/>
    <w:rsid w:val="00D31FC6"/>
    <w:rsid w:val="00D32EAB"/>
    <w:rsid w:val="00D3357B"/>
    <w:rsid w:val="00D34338"/>
    <w:rsid w:val="00D34688"/>
    <w:rsid w:val="00D35601"/>
    <w:rsid w:val="00D35F3B"/>
    <w:rsid w:val="00D36027"/>
    <w:rsid w:val="00D36337"/>
    <w:rsid w:val="00D363AA"/>
    <w:rsid w:val="00D36522"/>
    <w:rsid w:val="00D366B7"/>
    <w:rsid w:val="00D367F5"/>
    <w:rsid w:val="00D36C23"/>
    <w:rsid w:val="00D36FB2"/>
    <w:rsid w:val="00D375C7"/>
    <w:rsid w:val="00D3769E"/>
    <w:rsid w:val="00D40081"/>
    <w:rsid w:val="00D407D8"/>
    <w:rsid w:val="00D40EAF"/>
    <w:rsid w:val="00D41034"/>
    <w:rsid w:val="00D411A8"/>
    <w:rsid w:val="00D413DA"/>
    <w:rsid w:val="00D418A3"/>
    <w:rsid w:val="00D41B99"/>
    <w:rsid w:val="00D42249"/>
    <w:rsid w:val="00D4244A"/>
    <w:rsid w:val="00D42487"/>
    <w:rsid w:val="00D4341B"/>
    <w:rsid w:val="00D43539"/>
    <w:rsid w:val="00D43FBC"/>
    <w:rsid w:val="00D44522"/>
    <w:rsid w:val="00D44CC7"/>
    <w:rsid w:val="00D45865"/>
    <w:rsid w:val="00D45867"/>
    <w:rsid w:val="00D458A5"/>
    <w:rsid w:val="00D4595F"/>
    <w:rsid w:val="00D45CE3"/>
    <w:rsid w:val="00D46157"/>
    <w:rsid w:val="00D4646A"/>
    <w:rsid w:val="00D466A8"/>
    <w:rsid w:val="00D46A18"/>
    <w:rsid w:val="00D46BEF"/>
    <w:rsid w:val="00D47187"/>
    <w:rsid w:val="00D4751A"/>
    <w:rsid w:val="00D477E0"/>
    <w:rsid w:val="00D47DDB"/>
    <w:rsid w:val="00D50011"/>
    <w:rsid w:val="00D500F2"/>
    <w:rsid w:val="00D5017E"/>
    <w:rsid w:val="00D501F5"/>
    <w:rsid w:val="00D508E4"/>
    <w:rsid w:val="00D50B2C"/>
    <w:rsid w:val="00D50EB3"/>
    <w:rsid w:val="00D519D2"/>
    <w:rsid w:val="00D52284"/>
    <w:rsid w:val="00D5322C"/>
    <w:rsid w:val="00D533A1"/>
    <w:rsid w:val="00D533BF"/>
    <w:rsid w:val="00D53841"/>
    <w:rsid w:val="00D53C05"/>
    <w:rsid w:val="00D546B8"/>
    <w:rsid w:val="00D55294"/>
    <w:rsid w:val="00D56ACF"/>
    <w:rsid w:val="00D56BDE"/>
    <w:rsid w:val="00D57152"/>
    <w:rsid w:val="00D571A7"/>
    <w:rsid w:val="00D57692"/>
    <w:rsid w:val="00D576D7"/>
    <w:rsid w:val="00D57AF1"/>
    <w:rsid w:val="00D57CBB"/>
    <w:rsid w:val="00D60236"/>
    <w:rsid w:val="00D6063B"/>
    <w:rsid w:val="00D60B43"/>
    <w:rsid w:val="00D60C45"/>
    <w:rsid w:val="00D613F0"/>
    <w:rsid w:val="00D614C7"/>
    <w:rsid w:val="00D61A0C"/>
    <w:rsid w:val="00D61E9C"/>
    <w:rsid w:val="00D61F3D"/>
    <w:rsid w:val="00D61F93"/>
    <w:rsid w:val="00D623A8"/>
    <w:rsid w:val="00D62545"/>
    <w:rsid w:val="00D62EEF"/>
    <w:rsid w:val="00D6312F"/>
    <w:rsid w:val="00D633BB"/>
    <w:rsid w:val="00D63A3E"/>
    <w:rsid w:val="00D63D69"/>
    <w:rsid w:val="00D640F2"/>
    <w:rsid w:val="00D64236"/>
    <w:rsid w:val="00D642AD"/>
    <w:rsid w:val="00D64A40"/>
    <w:rsid w:val="00D64BD4"/>
    <w:rsid w:val="00D64E02"/>
    <w:rsid w:val="00D654E8"/>
    <w:rsid w:val="00D654FB"/>
    <w:rsid w:val="00D65619"/>
    <w:rsid w:val="00D66229"/>
    <w:rsid w:val="00D667D9"/>
    <w:rsid w:val="00D66C42"/>
    <w:rsid w:val="00D671FA"/>
    <w:rsid w:val="00D67216"/>
    <w:rsid w:val="00D67780"/>
    <w:rsid w:val="00D701C2"/>
    <w:rsid w:val="00D7055C"/>
    <w:rsid w:val="00D709B0"/>
    <w:rsid w:val="00D71468"/>
    <w:rsid w:val="00D7160C"/>
    <w:rsid w:val="00D71741"/>
    <w:rsid w:val="00D71A0A"/>
    <w:rsid w:val="00D71A70"/>
    <w:rsid w:val="00D71C1F"/>
    <w:rsid w:val="00D71CE6"/>
    <w:rsid w:val="00D71F03"/>
    <w:rsid w:val="00D72304"/>
    <w:rsid w:val="00D7249D"/>
    <w:rsid w:val="00D727B3"/>
    <w:rsid w:val="00D73210"/>
    <w:rsid w:val="00D73AD4"/>
    <w:rsid w:val="00D73C8C"/>
    <w:rsid w:val="00D744AF"/>
    <w:rsid w:val="00D74862"/>
    <w:rsid w:val="00D756D2"/>
    <w:rsid w:val="00D75879"/>
    <w:rsid w:val="00D75908"/>
    <w:rsid w:val="00D75CD0"/>
    <w:rsid w:val="00D75ECA"/>
    <w:rsid w:val="00D760B5"/>
    <w:rsid w:val="00D764EB"/>
    <w:rsid w:val="00D766A9"/>
    <w:rsid w:val="00D7733A"/>
    <w:rsid w:val="00D775CD"/>
    <w:rsid w:val="00D778F2"/>
    <w:rsid w:val="00D8005C"/>
    <w:rsid w:val="00D808EE"/>
    <w:rsid w:val="00D80A72"/>
    <w:rsid w:val="00D80AF5"/>
    <w:rsid w:val="00D81003"/>
    <w:rsid w:val="00D81129"/>
    <w:rsid w:val="00D818D0"/>
    <w:rsid w:val="00D81A7D"/>
    <w:rsid w:val="00D8202C"/>
    <w:rsid w:val="00D822E5"/>
    <w:rsid w:val="00D82F39"/>
    <w:rsid w:val="00D8378B"/>
    <w:rsid w:val="00D846D9"/>
    <w:rsid w:val="00D8480B"/>
    <w:rsid w:val="00D84B62"/>
    <w:rsid w:val="00D84CF1"/>
    <w:rsid w:val="00D84F1E"/>
    <w:rsid w:val="00D859E0"/>
    <w:rsid w:val="00D85CF7"/>
    <w:rsid w:val="00D863F7"/>
    <w:rsid w:val="00D87225"/>
    <w:rsid w:val="00D87307"/>
    <w:rsid w:val="00D87322"/>
    <w:rsid w:val="00D8792C"/>
    <w:rsid w:val="00D87974"/>
    <w:rsid w:val="00D87B4D"/>
    <w:rsid w:val="00D87C8F"/>
    <w:rsid w:val="00D87F7F"/>
    <w:rsid w:val="00D90662"/>
    <w:rsid w:val="00D90712"/>
    <w:rsid w:val="00D9076C"/>
    <w:rsid w:val="00D90F3C"/>
    <w:rsid w:val="00D911ED"/>
    <w:rsid w:val="00D91651"/>
    <w:rsid w:val="00D91686"/>
    <w:rsid w:val="00D9181C"/>
    <w:rsid w:val="00D91841"/>
    <w:rsid w:val="00D918BC"/>
    <w:rsid w:val="00D9191D"/>
    <w:rsid w:val="00D91A49"/>
    <w:rsid w:val="00D91D95"/>
    <w:rsid w:val="00D91E5A"/>
    <w:rsid w:val="00D92400"/>
    <w:rsid w:val="00D92454"/>
    <w:rsid w:val="00D9270B"/>
    <w:rsid w:val="00D927AB"/>
    <w:rsid w:val="00D93CB6"/>
    <w:rsid w:val="00D94506"/>
    <w:rsid w:val="00D947E8"/>
    <w:rsid w:val="00D94C19"/>
    <w:rsid w:val="00D94FA6"/>
    <w:rsid w:val="00D950AF"/>
    <w:rsid w:val="00D95DD1"/>
    <w:rsid w:val="00D96A20"/>
    <w:rsid w:val="00D97020"/>
    <w:rsid w:val="00D9744D"/>
    <w:rsid w:val="00DA123A"/>
    <w:rsid w:val="00DA2813"/>
    <w:rsid w:val="00DA2C32"/>
    <w:rsid w:val="00DA2DF2"/>
    <w:rsid w:val="00DA31ED"/>
    <w:rsid w:val="00DA36B3"/>
    <w:rsid w:val="00DA467B"/>
    <w:rsid w:val="00DA4DDB"/>
    <w:rsid w:val="00DA53B9"/>
    <w:rsid w:val="00DA64C9"/>
    <w:rsid w:val="00DA6B67"/>
    <w:rsid w:val="00DA7371"/>
    <w:rsid w:val="00DA74CE"/>
    <w:rsid w:val="00DA7705"/>
    <w:rsid w:val="00DA7878"/>
    <w:rsid w:val="00DA7D78"/>
    <w:rsid w:val="00DA7F35"/>
    <w:rsid w:val="00DB005E"/>
    <w:rsid w:val="00DB0592"/>
    <w:rsid w:val="00DB0B44"/>
    <w:rsid w:val="00DB1FA4"/>
    <w:rsid w:val="00DB3023"/>
    <w:rsid w:val="00DB3562"/>
    <w:rsid w:val="00DB3613"/>
    <w:rsid w:val="00DB3DB1"/>
    <w:rsid w:val="00DB3E6A"/>
    <w:rsid w:val="00DB3FDB"/>
    <w:rsid w:val="00DB4274"/>
    <w:rsid w:val="00DB4D86"/>
    <w:rsid w:val="00DB514B"/>
    <w:rsid w:val="00DB5712"/>
    <w:rsid w:val="00DB5C0E"/>
    <w:rsid w:val="00DB5E0E"/>
    <w:rsid w:val="00DB6379"/>
    <w:rsid w:val="00DB64AA"/>
    <w:rsid w:val="00DB657F"/>
    <w:rsid w:val="00DB65C2"/>
    <w:rsid w:val="00DB6952"/>
    <w:rsid w:val="00DB70EE"/>
    <w:rsid w:val="00DB75A4"/>
    <w:rsid w:val="00DB7827"/>
    <w:rsid w:val="00DB7BF9"/>
    <w:rsid w:val="00DC00C7"/>
    <w:rsid w:val="00DC023B"/>
    <w:rsid w:val="00DC0554"/>
    <w:rsid w:val="00DC07F1"/>
    <w:rsid w:val="00DC128B"/>
    <w:rsid w:val="00DC1828"/>
    <w:rsid w:val="00DC1A6F"/>
    <w:rsid w:val="00DC2DC5"/>
    <w:rsid w:val="00DC2E98"/>
    <w:rsid w:val="00DC30EA"/>
    <w:rsid w:val="00DC33EC"/>
    <w:rsid w:val="00DC3F9B"/>
    <w:rsid w:val="00DC4D22"/>
    <w:rsid w:val="00DC5B2D"/>
    <w:rsid w:val="00DC6491"/>
    <w:rsid w:val="00DC6E16"/>
    <w:rsid w:val="00DC7045"/>
    <w:rsid w:val="00DC70CD"/>
    <w:rsid w:val="00DC7601"/>
    <w:rsid w:val="00DC7E6F"/>
    <w:rsid w:val="00DD00EA"/>
    <w:rsid w:val="00DD1635"/>
    <w:rsid w:val="00DD1BD3"/>
    <w:rsid w:val="00DD1EFE"/>
    <w:rsid w:val="00DD20DE"/>
    <w:rsid w:val="00DD2E4E"/>
    <w:rsid w:val="00DD36AA"/>
    <w:rsid w:val="00DD3B6A"/>
    <w:rsid w:val="00DD405B"/>
    <w:rsid w:val="00DD4974"/>
    <w:rsid w:val="00DD4991"/>
    <w:rsid w:val="00DD553E"/>
    <w:rsid w:val="00DD564B"/>
    <w:rsid w:val="00DD638A"/>
    <w:rsid w:val="00DD64A2"/>
    <w:rsid w:val="00DD64CB"/>
    <w:rsid w:val="00DD6531"/>
    <w:rsid w:val="00DD671F"/>
    <w:rsid w:val="00DD6801"/>
    <w:rsid w:val="00DD6925"/>
    <w:rsid w:val="00DD6E0E"/>
    <w:rsid w:val="00DD6F13"/>
    <w:rsid w:val="00DD7BF9"/>
    <w:rsid w:val="00DD7C13"/>
    <w:rsid w:val="00DD7C7A"/>
    <w:rsid w:val="00DE037E"/>
    <w:rsid w:val="00DE0759"/>
    <w:rsid w:val="00DE0DFB"/>
    <w:rsid w:val="00DE1550"/>
    <w:rsid w:val="00DE176E"/>
    <w:rsid w:val="00DE1EC9"/>
    <w:rsid w:val="00DE23F2"/>
    <w:rsid w:val="00DE24B0"/>
    <w:rsid w:val="00DE28B1"/>
    <w:rsid w:val="00DE38AA"/>
    <w:rsid w:val="00DE4CB8"/>
    <w:rsid w:val="00DE5A1E"/>
    <w:rsid w:val="00DE5EEE"/>
    <w:rsid w:val="00DE6721"/>
    <w:rsid w:val="00DE6912"/>
    <w:rsid w:val="00DE6F95"/>
    <w:rsid w:val="00DE7355"/>
    <w:rsid w:val="00DE77E7"/>
    <w:rsid w:val="00DE7E8B"/>
    <w:rsid w:val="00DF04A6"/>
    <w:rsid w:val="00DF0745"/>
    <w:rsid w:val="00DF0790"/>
    <w:rsid w:val="00DF15B6"/>
    <w:rsid w:val="00DF15EC"/>
    <w:rsid w:val="00DF1806"/>
    <w:rsid w:val="00DF1C2D"/>
    <w:rsid w:val="00DF1F17"/>
    <w:rsid w:val="00DF1F85"/>
    <w:rsid w:val="00DF20CE"/>
    <w:rsid w:val="00DF20EA"/>
    <w:rsid w:val="00DF2425"/>
    <w:rsid w:val="00DF2974"/>
    <w:rsid w:val="00DF297F"/>
    <w:rsid w:val="00DF3422"/>
    <w:rsid w:val="00DF3E3B"/>
    <w:rsid w:val="00DF45FF"/>
    <w:rsid w:val="00DF4CEB"/>
    <w:rsid w:val="00DF79A3"/>
    <w:rsid w:val="00DF7C8C"/>
    <w:rsid w:val="00E00282"/>
    <w:rsid w:val="00E0043E"/>
    <w:rsid w:val="00E00A75"/>
    <w:rsid w:val="00E00C22"/>
    <w:rsid w:val="00E0156F"/>
    <w:rsid w:val="00E019C8"/>
    <w:rsid w:val="00E01C97"/>
    <w:rsid w:val="00E027C2"/>
    <w:rsid w:val="00E02F4E"/>
    <w:rsid w:val="00E04064"/>
    <w:rsid w:val="00E045EF"/>
    <w:rsid w:val="00E04E2B"/>
    <w:rsid w:val="00E0514D"/>
    <w:rsid w:val="00E052C4"/>
    <w:rsid w:val="00E05CBA"/>
    <w:rsid w:val="00E06166"/>
    <w:rsid w:val="00E0621A"/>
    <w:rsid w:val="00E06561"/>
    <w:rsid w:val="00E06583"/>
    <w:rsid w:val="00E06C17"/>
    <w:rsid w:val="00E07228"/>
    <w:rsid w:val="00E0766D"/>
    <w:rsid w:val="00E10090"/>
    <w:rsid w:val="00E102DD"/>
    <w:rsid w:val="00E10331"/>
    <w:rsid w:val="00E10935"/>
    <w:rsid w:val="00E10B43"/>
    <w:rsid w:val="00E10C1D"/>
    <w:rsid w:val="00E10D76"/>
    <w:rsid w:val="00E11A6C"/>
    <w:rsid w:val="00E11AE0"/>
    <w:rsid w:val="00E12585"/>
    <w:rsid w:val="00E126E5"/>
    <w:rsid w:val="00E1421F"/>
    <w:rsid w:val="00E1436D"/>
    <w:rsid w:val="00E14415"/>
    <w:rsid w:val="00E1449F"/>
    <w:rsid w:val="00E14A2C"/>
    <w:rsid w:val="00E14C3C"/>
    <w:rsid w:val="00E15157"/>
    <w:rsid w:val="00E15680"/>
    <w:rsid w:val="00E15BCB"/>
    <w:rsid w:val="00E1644C"/>
    <w:rsid w:val="00E16730"/>
    <w:rsid w:val="00E16852"/>
    <w:rsid w:val="00E16DB7"/>
    <w:rsid w:val="00E177F1"/>
    <w:rsid w:val="00E17D33"/>
    <w:rsid w:val="00E203ED"/>
    <w:rsid w:val="00E20CD7"/>
    <w:rsid w:val="00E20D09"/>
    <w:rsid w:val="00E2106E"/>
    <w:rsid w:val="00E21495"/>
    <w:rsid w:val="00E21AD7"/>
    <w:rsid w:val="00E22D0F"/>
    <w:rsid w:val="00E23557"/>
    <w:rsid w:val="00E23D4C"/>
    <w:rsid w:val="00E23E7D"/>
    <w:rsid w:val="00E24B81"/>
    <w:rsid w:val="00E24C2A"/>
    <w:rsid w:val="00E24F41"/>
    <w:rsid w:val="00E251C3"/>
    <w:rsid w:val="00E252E5"/>
    <w:rsid w:val="00E25EB1"/>
    <w:rsid w:val="00E260B0"/>
    <w:rsid w:val="00E26382"/>
    <w:rsid w:val="00E264C0"/>
    <w:rsid w:val="00E264F9"/>
    <w:rsid w:val="00E267AA"/>
    <w:rsid w:val="00E26870"/>
    <w:rsid w:val="00E273E5"/>
    <w:rsid w:val="00E278E8"/>
    <w:rsid w:val="00E27FB8"/>
    <w:rsid w:val="00E30064"/>
    <w:rsid w:val="00E301E4"/>
    <w:rsid w:val="00E3078A"/>
    <w:rsid w:val="00E31099"/>
    <w:rsid w:val="00E319E0"/>
    <w:rsid w:val="00E32209"/>
    <w:rsid w:val="00E3275C"/>
    <w:rsid w:val="00E327B1"/>
    <w:rsid w:val="00E327B9"/>
    <w:rsid w:val="00E32A5E"/>
    <w:rsid w:val="00E32E66"/>
    <w:rsid w:val="00E3307A"/>
    <w:rsid w:val="00E331E4"/>
    <w:rsid w:val="00E3328F"/>
    <w:rsid w:val="00E33C15"/>
    <w:rsid w:val="00E3413D"/>
    <w:rsid w:val="00E34633"/>
    <w:rsid w:val="00E3470A"/>
    <w:rsid w:val="00E34C64"/>
    <w:rsid w:val="00E34CED"/>
    <w:rsid w:val="00E35CBE"/>
    <w:rsid w:val="00E35DC5"/>
    <w:rsid w:val="00E36239"/>
    <w:rsid w:val="00E36C10"/>
    <w:rsid w:val="00E374E2"/>
    <w:rsid w:val="00E37695"/>
    <w:rsid w:val="00E37830"/>
    <w:rsid w:val="00E37F55"/>
    <w:rsid w:val="00E40453"/>
    <w:rsid w:val="00E4059C"/>
    <w:rsid w:val="00E405F0"/>
    <w:rsid w:val="00E40680"/>
    <w:rsid w:val="00E40C1A"/>
    <w:rsid w:val="00E41014"/>
    <w:rsid w:val="00E421F2"/>
    <w:rsid w:val="00E428CB"/>
    <w:rsid w:val="00E4423D"/>
    <w:rsid w:val="00E44378"/>
    <w:rsid w:val="00E449C3"/>
    <w:rsid w:val="00E45020"/>
    <w:rsid w:val="00E450D8"/>
    <w:rsid w:val="00E4528A"/>
    <w:rsid w:val="00E45835"/>
    <w:rsid w:val="00E45C08"/>
    <w:rsid w:val="00E464DF"/>
    <w:rsid w:val="00E46502"/>
    <w:rsid w:val="00E46F6A"/>
    <w:rsid w:val="00E471E6"/>
    <w:rsid w:val="00E476E0"/>
    <w:rsid w:val="00E47DDE"/>
    <w:rsid w:val="00E50124"/>
    <w:rsid w:val="00E519D8"/>
    <w:rsid w:val="00E51DD3"/>
    <w:rsid w:val="00E5209E"/>
    <w:rsid w:val="00E5241D"/>
    <w:rsid w:val="00E5271E"/>
    <w:rsid w:val="00E52BC4"/>
    <w:rsid w:val="00E53315"/>
    <w:rsid w:val="00E5334A"/>
    <w:rsid w:val="00E536C6"/>
    <w:rsid w:val="00E53B8E"/>
    <w:rsid w:val="00E542AA"/>
    <w:rsid w:val="00E543EE"/>
    <w:rsid w:val="00E548D1"/>
    <w:rsid w:val="00E54D9C"/>
    <w:rsid w:val="00E54DFF"/>
    <w:rsid w:val="00E54E59"/>
    <w:rsid w:val="00E55B02"/>
    <w:rsid w:val="00E55EA3"/>
    <w:rsid w:val="00E55FAC"/>
    <w:rsid w:val="00E56130"/>
    <w:rsid w:val="00E563F0"/>
    <w:rsid w:val="00E56574"/>
    <w:rsid w:val="00E56D19"/>
    <w:rsid w:val="00E57012"/>
    <w:rsid w:val="00E5737A"/>
    <w:rsid w:val="00E57481"/>
    <w:rsid w:val="00E57704"/>
    <w:rsid w:val="00E5776E"/>
    <w:rsid w:val="00E57954"/>
    <w:rsid w:val="00E57AA2"/>
    <w:rsid w:val="00E57C07"/>
    <w:rsid w:val="00E57D82"/>
    <w:rsid w:val="00E57EE7"/>
    <w:rsid w:val="00E60D04"/>
    <w:rsid w:val="00E612CC"/>
    <w:rsid w:val="00E617FF"/>
    <w:rsid w:val="00E62268"/>
    <w:rsid w:val="00E6294C"/>
    <w:rsid w:val="00E62B0B"/>
    <w:rsid w:val="00E63504"/>
    <w:rsid w:val="00E635B9"/>
    <w:rsid w:val="00E638BA"/>
    <w:rsid w:val="00E6426E"/>
    <w:rsid w:val="00E64509"/>
    <w:rsid w:val="00E646E7"/>
    <w:rsid w:val="00E649FC"/>
    <w:rsid w:val="00E64AAF"/>
    <w:rsid w:val="00E64EDF"/>
    <w:rsid w:val="00E65958"/>
    <w:rsid w:val="00E65DDD"/>
    <w:rsid w:val="00E65EFB"/>
    <w:rsid w:val="00E6668F"/>
    <w:rsid w:val="00E666DD"/>
    <w:rsid w:val="00E66856"/>
    <w:rsid w:val="00E66B4A"/>
    <w:rsid w:val="00E671F0"/>
    <w:rsid w:val="00E67B43"/>
    <w:rsid w:val="00E70402"/>
    <w:rsid w:val="00E707EA"/>
    <w:rsid w:val="00E7123B"/>
    <w:rsid w:val="00E712EA"/>
    <w:rsid w:val="00E71813"/>
    <w:rsid w:val="00E722A5"/>
    <w:rsid w:val="00E72478"/>
    <w:rsid w:val="00E7292C"/>
    <w:rsid w:val="00E73482"/>
    <w:rsid w:val="00E73537"/>
    <w:rsid w:val="00E740DA"/>
    <w:rsid w:val="00E7455D"/>
    <w:rsid w:val="00E747EA"/>
    <w:rsid w:val="00E747EE"/>
    <w:rsid w:val="00E74802"/>
    <w:rsid w:val="00E74B06"/>
    <w:rsid w:val="00E74D9F"/>
    <w:rsid w:val="00E75AAC"/>
    <w:rsid w:val="00E75D1F"/>
    <w:rsid w:val="00E76345"/>
    <w:rsid w:val="00E76625"/>
    <w:rsid w:val="00E76C41"/>
    <w:rsid w:val="00E76F7A"/>
    <w:rsid w:val="00E775FB"/>
    <w:rsid w:val="00E77687"/>
    <w:rsid w:val="00E776F4"/>
    <w:rsid w:val="00E77DAA"/>
    <w:rsid w:val="00E80094"/>
    <w:rsid w:val="00E804A3"/>
    <w:rsid w:val="00E80681"/>
    <w:rsid w:val="00E8086C"/>
    <w:rsid w:val="00E80B98"/>
    <w:rsid w:val="00E813F4"/>
    <w:rsid w:val="00E819A8"/>
    <w:rsid w:val="00E81A7F"/>
    <w:rsid w:val="00E826D1"/>
    <w:rsid w:val="00E82815"/>
    <w:rsid w:val="00E828CB"/>
    <w:rsid w:val="00E83A5E"/>
    <w:rsid w:val="00E83AFD"/>
    <w:rsid w:val="00E844C3"/>
    <w:rsid w:val="00E845F8"/>
    <w:rsid w:val="00E846DB"/>
    <w:rsid w:val="00E85157"/>
    <w:rsid w:val="00E863AA"/>
    <w:rsid w:val="00E86555"/>
    <w:rsid w:val="00E86608"/>
    <w:rsid w:val="00E8695C"/>
    <w:rsid w:val="00E86FEA"/>
    <w:rsid w:val="00E87559"/>
    <w:rsid w:val="00E87DDD"/>
    <w:rsid w:val="00E9006C"/>
    <w:rsid w:val="00E9023B"/>
    <w:rsid w:val="00E9047A"/>
    <w:rsid w:val="00E90609"/>
    <w:rsid w:val="00E90B5E"/>
    <w:rsid w:val="00E90C89"/>
    <w:rsid w:val="00E913B3"/>
    <w:rsid w:val="00E918B7"/>
    <w:rsid w:val="00E92565"/>
    <w:rsid w:val="00E9260C"/>
    <w:rsid w:val="00E9266C"/>
    <w:rsid w:val="00E932D1"/>
    <w:rsid w:val="00E93C7E"/>
    <w:rsid w:val="00E93EB9"/>
    <w:rsid w:val="00E94084"/>
    <w:rsid w:val="00E94113"/>
    <w:rsid w:val="00E94DAA"/>
    <w:rsid w:val="00E9526E"/>
    <w:rsid w:val="00E96468"/>
    <w:rsid w:val="00E96F68"/>
    <w:rsid w:val="00E970D7"/>
    <w:rsid w:val="00E972EE"/>
    <w:rsid w:val="00E97779"/>
    <w:rsid w:val="00E978CC"/>
    <w:rsid w:val="00E97B84"/>
    <w:rsid w:val="00E97F38"/>
    <w:rsid w:val="00EA0289"/>
    <w:rsid w:val="00EA08EC"/>
    <w:rsid w:val="00EA0FCE"/>
    <w:rsid w:val="00EA18A8"/>
    <w:rsid w:val="00EA1FE5"/>
    <w:rsid w:val="00EA2142"/>
    <w:rsid w:val="00EA2D29"/>
    <w:rsid w:val="00EA3749"/>
    <w:rsid w:val="00EA3CF5"/>
    <w:rsid w:val="00EA3D21"/>
    <w:rsid w:val="00EA48C9"/>
    <w:rsid w:val="00EA4BB6"/>
    <w:rsid w:val="00EA59B0"/>
    <w:rsid w:val="00EA6094"/>
    <w:rsid w:val="00EA6224"/>
    <w:rsid w:val="00EA69A5"/>
    <w:rsid w:val="00EA6D93"/>
    <w:rsid w:val="00EA70F7"/>
    <w:rsid w:val="00EA7446"/>
    <w:rsid w:val="00EB004D"/>
    <w:rsid w:val="00EB0146"/>
    <w:rsid w:val="00EB02C1"/>
    <w:rsid w:val="00EB0322"/>
    <w:rsid w:val="00EB05F5"/>
    <w:rsid w:val="00EB0ACA"/>
    <w:rsid w:val="00EB126D"/>
    <w:rsid w:val="00EB153B"/>
    <w:rsid w:val="00EB159C"/>
    <w:rsid w:val="00EB17F3"/>
    <w:rsid w:val="00EB1BE8"/>
    <w:rsid w:val="00EB2D5C"/>
    <w:rsid w:val="00EB3802"/>
    <w:rsid w:val="00EB3EAF"/>
    <w:rsid w:val="00EB46FA"/>
    <w:rsid w:val="00EB48F6"/>
    <w:rsid w:val="00EB4BEB"/>
    <w:rsid w:val="00EB4D75"/>
    <w:rsid w:val="00EB5287"/>
    <w:rsid w:val="00EB6405"/>
    <w:rsid w:val="00EB6587"/>
    <w:rsid w:val="00EB66AC"/>
    <w:rsid w:val="00EB69B4"/>
    <w:rsid w:val="00EB7059"/>
    <w:rsid w:val="00EB75D2"/>
    <w:rsid w:val="00EB7932"/>
    <w:rsid w:val="00EB7E38"/>
    <w:rsid w:val="00EC0214"/>
    <w:rsid w:val="00EC05BA"/>
    <w:rsid w:val="00EC0B35"/>
    <w:rsid w:val="00EC0D64"/>
    <w:rsid w:val="00EC104C"/>
    <w:rsid w:val="00EC178C"/>
    <w:rsid w:val="00EC17E3"/>
    <w:rsid w:val="00EC1A16"/>
    <w:rsid w:val="00EC1D75"/>
    <w:rsid w:val="00EC20DA"/>
    <w:rsid w:val="00EC2127"/>
    <w:rsid w:val="00EC238B"/>
    <w:rsid w:val="00EC3117"/>
    <w:rsid w:val="00EC3329"/>
    <w:rsid w:val="00EC3C44"/>
    <w:rsid w:val="00EC478C"/>
    <w:rsid w:val="00EC517B"/>
    <w:rsid w:val="00EC5B0D"/>
    <w:rsid w:val="00EC5BB4"/>
    <w:rsid w:val="00EC6364"/>
    <w:rsid w:val="00EC7114"/>
    <w:rsid w:val="00EC7D15"/>
    <w:rsid w:val="00EC7DAA"/>
    <w:rsid w:val="00EC7DB0"/>
    <w:rsid w:val="00EC7EDB"/>
    <w:rsid w:val="00ED024A"/>
    <w:rsid w:val="00ED12B0"/>
    <w:rsid w:val="00ED1F83"/>
    <w:rsid w:val="00ED213F"/>
    <w:rsid w:val="00ED2540"/>
    <w:rsid w:val="00ED2B9A"/>
    <w:rsid w:val="00ED2DB8"/>
    <w:rsid w:val="00ED379B"/>
    <w:rsid w:val="00ED4060"/>
    <w:rsid w:val="00ED45E3"/>
    <w:rsid w:val="00ED4783"/>
    <w:rsid w:val="00ED49B3"/>
    <w:rsid w:val="00ED51DE"/>
    <w:rsid w:val="00ED52CD"/>
    <w:rsid w:val="00ED539C"/>
    <w:rsid w:val="00ED53CB"/>
    <w:rsid w:val="00ED5447"/>
    <w:rsid w:val="00ED54B4"/>
    <w:rsid w:val="00ED5993"/>
    <w:rsid w:val="00ED5A24"/>
    <w:rsid w:val="00ED6222"/>
    <w:rsid w:val="00ED6D5F"/>
    <w:rsid w:val="00ED6F3C"/>
    <w:rsid w:val="00ED74B3"/>
    <w:rsid w:val="00ED74C3"/>
    <w:rsid w:val="00ED79B4"/>
    <w:rsid w:val="00ED7E44"/>
    <w:rsid w:val="00EE0456"/>
    <w:rsid w:val="00EE08CA"/>
    <w:rsid w:val="00EE0A57"/>
    <w:rsid w:val="00EE0C9C"/>
    <w:rsid w:val="00EE1B4A"/>
    <w:rsid w:val="00EE1C17"/>
    <w:rsid w:val="00EE1D56"/>
    <w:rsid w:val="00EE235A"/>
    <w:rsid w:val="00EE294E"/>
    <w:rsid w:val="00EE35B8"/>
    <w:rsid w:val="00EE3632"/>
    <w:rsid w:val="00EE3EC0"/>
    <w:rsid w:val="00EE427C"/>
    <w:rsid w:val="00EE4392"/>
    <w:rsid w:val="00EE43C1"/>
    <w:rsid w:val="00EE4B3F"/>
    <w:rsid w:val="00EE4DCC"/>
    <w:rsid w:val="00EE5425"/>
    <w:rsid w:val="00EE559E"/>
    <w:rsid w:val="00EE5BB3"/>
    <w:rsid w:val="00EE715D"/>
    <w:rsid w:val="00EE7273"/>
    <w:rsid w:val="00EE74FC"/>
    <w:rsid w:val="00EE7916"/>
    <w:rsid w:val="00EE793A"/>
    <w:rsid w:val="00EE7A69"/>
    <w:rsid w:val="00EE7C99"/>
    <w:rsid w:val="00EF0A64"/>
    <w:rsid w:val="00EF132F"/>
    <w:rsid w:val="00EF1392"/>
    <w:rsid w:val="00EF18AD"/>
    <w:rsid w:val="00EF19D9"/>
    <w:rsid w:val="00EF2467"/>
    <w:rsid w:val="00EF4844"/>
    <w:rsid w:val="00EF4853"/>
    <w:rsid w:val="00EF4A5A"/>
    <w:rsid w:val="00EF4E5E"/>
    <w:rsid w:val="00EF5112"/>
    <w:rsid w:val="00EF5132"/>
    <w:rsid w:val="00EF5667"/>
    <w:rsid w:val="00EF5D5A"/>
    <w:rsid w:val="00EF5D5C"/>
    <w:rsid w:val="00EF6662"/>
    <w:rsid w:val="00EF6786"/>
    <w:rsid w:val="00EF6D04"/>
    <w:rsid w:val="00EF6D93"/>
    <w:rsid w:val="00EF6EEB"/>
    <w:rsid w:val="00EF760F"/>
    <w:rsid w:val="00EF7671"/>
    <w:rsid w:val="00EF77F0"/>
    <w:rsid w:val="00EF7E34"/>
    <w:rsid w:val="00F00002"/>
    <w:rsid w:val="00F001EC"/>
    <w:rsid w:val="00F003C1"/>
    <w:rsid w:val="00F00918"/>
    <w:rsid w:val="00F009C1"/>
    <w:rsid w:val="00F00EA8"/>
    <w:rsid w:val="00F011DB"/>
    <w:rsid w:val="00F01A4D"/>
    <w:rsid w:val="00F01EB1"/>
    <w:rsid w:val="00F021AC"/>
    <w:rsid w:val="00F0223F"/>
    <w:rsid w:val="00F029BC"/>
    <w:rsid w:val="00F02BBD"/>
    <w:rsid w:val="00F02C66"/>
    <w:rsid w:val="00F0307D"/>
    <w:rsid w:val="00F031F5"/>
    <w:rsid w:val="00F036A3"/>
    <w:rsid w:val="00F0373C"/>
    <w:rsid w:val="00F03B42"/>
    <w:rsid w:val="00F04921"/>
    <w:rsid w:val="00F04E78"/>
    <w:rsid w:val="00F05361"/>
    <w:rsid w:val="00F05D9F"/>
    <w:rsid w:val="00F0636F"/>
    <w:rsid w:val="00F06854"/>
    <w:rsid w:val="00F07604"/>
    <w:rsid w:val="00F07613"/>
    <w:rsid w:val="00F0767F"/>
    <w:rsid w:val="00F0785A"/>
    <w:rsid w:val="00F078EC"/>
    <w:rsid w:val="00F07B9B"/>
    <w:rsid w:val="00F07C18"/>
    <w:rsid w:val="00F11356"/>
    <w:rsid w:val="00F116D0"/>
    <w:rsid w:val="00F11778"/>
    <w:rsid w:val="00F121D1"/>
    <w:rsid w:val="00F12629"/>
    <w:rsid w:val="00F12B69"/>
    <w:rsid w:val="00F1308B"/>
    <w:rsid w:val="00F143DE"/>
    <w:rsid w:val="00F1440B"/>
    <w:rsid w:val="00F14777"/>
    <w:rsid w:val="00F147E6"/>
    <w:rsid w:val="00F14FD5"/>
    <w:rsid w:val="00F152D3"/>
    <w:rsid w:val="00F15E67"/>
    <w:rsid w:val="00F15EFD"/>
    <w:rsid w:val="00F15EFE"/>
    <w:rsid w:val="00F164DE"/>
    <w:rsid w:val="00F16634"/>
    <w:rsid w:val="00F171F9"/>
    <w:rsid w:val="00F1730F"/>
    <w:rsid w:val="00F178D2"/>
    <w:rsid w:val="00F17A79"/>
    <w:rsid w:val="00F17C66"/>
    <w:rsid w:val="00F202DD"/>
    <w:rsid w:val="00F209F8"/>
    <w:rsid w:val="00F20C34"/>
    <w:rsid w:val="00F2147E"/>
    <w:rsid w:val="00F21609"/>
    <w:rsid w:val="00F21A45"/>
    <w:rsid w:val="00F21B53"/>
    <w:rsid w:val="00F21EB0"/>
    <w:rsid w:val="00F2201B"/>
    <w:rsid w:val="00F22343"/>
    <w:rsid w:val="00F22404"/>
    <w:rsid w:val="00F226B6"/>
    <w:rsid w:val="00F22D6E"/>
    <w:rsid w:val="00F236D5"/>
    <w:rsid w:val="00F238EF"/>
    <w:rsid w:val="00F23EBE"/>
    <w:rsid w:val="00F248C7"/>
    <w:rsid w:val="00F24B8E"/>
    <w:rsid w:val="00F24D6A"/>
    <w:rsid w:val="00F24FFD"/>
    <w:rsid w:val="00F2574A"/>
    <w:rsid w:val="00F25763"/>
    <w:rsid w:val="00F2594A"/>
    <w:rsid w:val="00F25CA3"/>
    <w:rsid w:val="00F25F64"/>
    <w:rsid w:val="00F25FC7"/>
    <w:rsid w:val="00F2630A"/>
    <w:rsid w:val="00F263AD"/>
    <w:rsid w:val="00F264B8"/>
    <w:rsid w:val="00F26A5A"/>
    <w:rsid w:val="00F26D06"/>
    <w:rsid w:val="00F26D38"/>
    <w:rsid w:val="00F26E72"/>
    <w:rsid w:val="00F3040E"/>
    <w:rsid w:val="00F304A8"/>
    <w:rsid w:val="00F309CA"/>
    <w:rsid w:val="00F30B91"/>
    <w:rsid w:val="00F30F5D"/>
    <w:rsid w:val="00F31206"/>
    <w:rsid w:val="00F31532"/>
    <w:rsid w:val="00F3173A"/>
    <w:rsid w:val="00F31861"/>
    <w:rsid w:val="00F32088"/>
    <w:rsid w:val="00F32913"/>
    <w:rsid w:val="00F32A66"/>
    <w:rsid w:val="00F34F66"/>
    <w:rsid w:val="00F350C6"/>
    <w:rsid w:val="00F351F7"/>
    <w:rsid w:val="00F3525E"/>
    <w:rsid w:val="00F36019"/>
    <w:rsid w:val="00F36605"/>
    <w:rsid w:val="00F366FB"/>
    <w:rsid w:val="00F36C9F"/>
    <w:rsid w:val="00F375F4"/>
    <w:rsid w:val="00F378A6"/>
    <w:rsid w:val="00F3796D"/>
    <w:rsid w:val="00F40202"/>
    <w:rsid w:val="00F40BE9"/>
    <w:rsid w:val="00F411C1"/>
    <w:rsid w:val="00F4123C"/>
    <w:rsid w:val="00F4131E"/>
    <w:rsid w:val="00F4135A"/>
    <w:rsid w:val="00F42164"/>
    <w:rsid w:val="00F42AC0"/>
    <w:rsid w:val="00F43DD0"/>
    <w:rsid w:val="00F44203"/>
    <w:rsid w:val="00F445FF"/>
    <w:rsid w:val="00F4463B"/>
    <w:rsid w:val="00F451D4"/>
    <w:rsid w:val="00F4541A"/>
    <w:rsid w:val="00F45BD4"/>
    <w:rsid w:val="00F45EDF"/>
    <w:rsid w:val="00F46184"/>
    <w:rsid w:val="00F4625D"/>
    <w:rsid w:val="00F4638F"/>
    <w:rsid w:val="00F466B3"/>
    <w:rsid w:val="00F467AF"/>
    <w:rsid w:val="00F468E9"/>
    <w:rsid w:val="00F473D8"/>
    <w:rsid w:val="00F47643"/>
    <w:rsid w:val="00F47788"/>
    <w:rsid w:val="00F47849"/>
    <w:rsid w:val="00F478EB"/>
    <w:rsid w:val="00F47DD5"/>
    <w:rsid w:val="00F50BA3"/>
    <w:rsid w:val="00F51106"/>
    <w:rsid w:val="00F514E3"/>
    <w:rsid w:val="00F51A14"/>
    <w:rsid w:val="00F521AA"/>
    <w:rsid w:val="00F52501"/>
    <w:rsid w:val="00F52838"/>
    <w:rsid w:val="00F531C9"/>
    <w:rsid w:val="00F53B78"/>
    <w:rsid w:val="00F53BB4"/>
    <w:rsid w:val="00F54251"/>
    <w:rsid w:val="00F5455E"/>
    <w:rsid w:val="00F547A4"/>
    <w:rsid w:val="00F54897"/>
    <w:rsid w:val="00F54D38"/>
    <w:rsid w:val="00F55082"/>
    <w:rsid w:val="00F553BF"/>
    <w:rsid w:val="00F55EAA"/>
    <w:rsid w:val="00F5629A"/>
    <w:rsid w:val="00F562A2"/>
    <w:rsid w:val="00F56A10"/>
    <w:rsid w:val="00F57054"/>
    <w:rsid w:val="00F571DB"/>
    <w:rsid w:val="00F572FE"/>
    <w:rsid w:val="00F5769E"/>
    <w:rsid w:val="00F5774F"/>
    <w:rsid w:val="00F579D5"/>
    <w:rsid w:val="00F57E50"/>
    <w:rsid w:val="00F57F20"/>
    <w:rsid w:val="00F60617"/>
    <w:rsid w:val="00F60639"/>
    <w:rsid w:val="00F60C47"/>
    <w:rsid w:val="00F60F0A"/>
    <w:rsid w:val="00F6140D"/>
    <w:rsid w:val="00F61C2B"/>
    <w:rsid w:val="00F62348"/>
    <w:rsid w:val="00F625E6"/>
    <w:rsid w:val="00F62660"/>
    <w:rsid w:val="00F6281D"/>
    <w:rsid w:val="00F62FEE"/>
    <w:rsid w:val="00F630ED"/>
    <w:rsid w:val="00F6367D"/>
    <w:rsid w:val="00F6436A"/>
    <w:rsid w:val="00F6480B"/>
    <w:rsid w:val="00F64A00"/>
    <w:rsid w:val="00F64B26"/>
    <w:rsid w:val="00F64BC9"/>
    <w:rsid w:val="00F651FB"/>
    <w:rsid w:val="00F655F5"/>
    <w:rsid w:val="00F65886"/>
    <w:rsid w:val="00F65A67"/>
    <w:rsid w:val="00F66042"/>
    <w:rsid w:val="00F663E4"/>
    <w:rsid w:val="00F66822"/>
    <w:rsid w:val="00F66A6E"/>
    <w:rsid w:val="00F66D44"/>
    <w:rsid w:val="00F67329"/>
    <w:rsid w:val="00F674DA"/>
    <w:rsid w:val="00F67D3F"/>
    <w:rsid w:val="00F67EE8"/>
    <w:rsid w:val="00F7002C"/>
    <w:rsid w:val="00F700D8"/>
    <w:rsid w:val="00F708F1"/>
    <w:rsid w:val="00F70FDD"/>
    <w:rsid w:val="00F71320"/>
    <w:rsid w:val="00F715E5"/>
    <w:rsid w:val="00F722BE"/>
    <w:rsid w:val="00F72844"/>
    <w:rsid w:val="00F729DC"/>
    <w:rsid w:val="00F729F1"/>
    <w:rsid w:val="00F72B73"/>
    <w:rsid w:val="00F731D7"/>
    <w:rsid w:val="00F73702"/>
    <w:rsid w:val="00F73BCF"/>
    <w:rsid w:val="00F752A2"/>
    <w:rsid w:val="00F75776"/>
    <w:rsid w:val="00F75AC3"/>
    <w:rsid w:val="00F75ADB"/>
    <w:rsid w:val="00F75EF5"/>
    <w:rsid w:val="00F7602D"/>
    <w:rsid w:val="00F76363"/>
    <w:rsid w:val="00F7685D"/>
    <w:rsid w:val="00F76C6C"/>
    <w:rsid w:val="00F76D4A"/>
    <w:rsid w:val="00F77119"/>
    <w:rsid w:val="00F77E63"/>
    <w:rsid w:val="00F8037E"/>
    <w:rsid w:val="00F803B7"/>
    <w:rsid w:val="00F806C9"/>
    <w:rsid w:val="00F807F7"/>
    <w:rsid w:val="00F8099F"/>
    <w:rsid w:val="00F816F6"/>
    <w:rsid w:val="00F8324B"/>
    <w:rsid w:val="00F838A8"/>
    <w:rsid w:val="00F83A8A"/>
    <w:rsid w:val="00F84A5A"/>
    <w:rsid w:val="00F85A9D"/>
    <w:rsid w:val="00F85B83"/>
    <w:rsid w:val="00F860D8"/>
    <w:rsid w:val="00F86914"/>
    <w:rsid w:val="00F86B73"/>
    <w:rsid w:val="00F870BF"/>
    <w:rsid w:val="00F8754B"/>
    <w:rsid w:val="00F90377"/>
    <w:rsid w:val="00F90ADE"/>
    <w:rsid w:val="00F9176D"/>
    <w:rsid w:val="00F91D3B"/>
    <w:rsid w:val="00F91D8E"/>
    <w:rsid w:val="00F91FB6"/>
    <w:rsid w:val="00F923B9"/>
    <w:rsid w:val="00F927E3"/>
    <w:rsid w:val="00F92F2C"/>
    <w:rsid w:val="00F934BB"/>
    <w:rsid w:val="00F939B6"/>
    <w:rsid w:val="00F93EC8"/>
    <w:rsid w:val="00F9440D"/>
    <w:rsid w:val="00F94A68"/>
    <w:rsid w:val="00F94BC8"/>
    <w:rsid w:val="00F94C99"/>
    <w:rsid w:val="00F96019"/>
    <w:rsid w:val="00F9640C"/>
    <w:rsid w:val="00F9667A"/>
    <w:rsid w:val="00F97B70"/>
    <w:rsid w:val="00F97BCC"/>
    <w:rsid w:val="00FA057A"/>
    <w:rsid w:val="00FA0665"/>
    <w:rsid w:val="00FA189A"/>
    <w:rsid w:val="00FA1A50"/>
    <w:rsid w:val="00FA1D9A"/>
    <w:rsid w:val="00FA1F76"/>
    <w:rsid w:val="00FA26F8"/>
    <w:rsid w:val="00FA276F"/>
    <w:rsid w:val="00FA3509"/>
    <w:rsid w:val="00FA357D"/>
    <w:rsid w:val="00FA3AE6"/>
    <w:rsid w:val="00FA3E60"/>
    <w:rsid w:val="00FA3EC1"/>
    <w:rsid w:val="00FA40E6"/>
    <w:rsid w:val="00FA4628"/>
    <w:rsid w:val="00FA49E0"/>
    <w:rsid w:val="00FA5819"/>
    <w:rsid w:val="00FA5C9E"/>
    <w:rsid w:val="00FA5D5F"/>
    <w:rsid w:val="00FA6F3D"/>
    <w:rsid w:val="00FA77FB"/>
    <w:rsid w:val="00FA7D36"/>
    <w:rsid w:val="00FB016A"/>
    <w:rsid w:val="00FB055C"/>
    <w:rsid w:val="00FB0D77"/>
    <w:rsid w:val="00FB0D91"/>
    <w:rsid w:val="00FB0E86"/>
    <w:rsid w:val="00FB0F89"/>
    <w:rsid w:val="00FB172B"/>
    <w:rsid w:val="00FB274B"/>
    <w:rsid w:val="00FB39F2"/>
    <w:rsid w:val="00FB5AFD"/>
    <w:rsid w:val="00FB5B5B"/>
    <w:rsid w:val="00FB5D5B"/>
    <w:rsid w:val="00FB6CE2"/>
    <w:rsid w:val="00FB77CF"/>
    <w:rsid w:val="00FB7A8F"/>
    <w:rsid w:val="00FB7ACB"/>
    <w:rsid w:val="00FC01EC"/>
    <w:rsid w:val="00FC051A"/>
    <w:rsid w:val="00FC0E47"/>
    <w:rsid w:val="00FC1402"/>
    <w:rsid w:val="00FC15F6"/>
    <w:rsid w:val="00FC194F"/>
    <w:rsid w:val="00FC1B18"/>
    <w:rsid w:val="00FC2295"/>
    <w:rsid w:val="00FC29D5"/>
    <w:rsid w:val="00FC2DCC"/>
    <w:rsid w:val="00FC35FA"/>
    <w:rsid w:val="00FC370E"/>
    <w:rsid w:val="00FC3D15"/>
    <w:rsid w:val="00FC3D4C"/>
    <w:rsid w:val="00FC40E0"/>
    <w:rsid w:val="00FC4846"/>
    <w:rsid w:val="00FC5486"/>
    <w:rsid w:val="00FC58D3"/>
    <w:rsid w:val="00FC6EC0"/>
    <w:rsid w:val="00FC7770"/>
    <w:rsid w:val="00FC7F65"/>
    <w:rsid w:val="00FD0D3F"/>
    <w:rsid w:val="00FD1298"/>
    <w:rsid w:val="00FD1CCA"/>
    <w:rsid w:val="00FD277B"/>
    <w:rsid w:val="00FD2CBA"/>
    <w:rsid w:val="00FD362E"/>
    <w:rsid w:val="00FD3816"/>
    <w:rsid w:val="00FD3AEE"/>
    <w:rsid w:val="00FD4281"/>
    <w:rsid w:val="00FD510F"/>
    <w:rsid w:val="00FD56F6"/>
    <w:rsid w:val="00FD5DF2"/>
    <w:rsid w:val="00FD5E28"/>
    <w:rsid w:val="00FD5E9E"/>
    <w:rsid w:val="00FD675A"/>
    <w:rsid w:val="00FD6EA3"/>
    <w:rsid w:val="00FD7514"/>
    <w:rsid w:val="00FD77A4"/>
    <w:rsid w:val="00FE03DA"/>
    <w:rsid w:val="00FE0897"/>
    <w:rsid w:val="00FE0940"/>
    <w:rsid w:val="00FE0989"/>
    <w:rsid w:val="00FE0E36"/>
    <w:rsid w:val="00FE102E"/>
    <w:rsid w:val="00FE1A57"/>
    <w:rsid w:val="00FE1FB4"/>
    <w:rsid w:val="00FE28C4"/>
    <w:rsid w:val="00FE34DC"/>
    <w:rsid w:val="00FE354B"/>
    <w:rsid w:val="00FE371A"/>
    <w:rsid w:val="00FE37E9"/>
    <w:rsid w:val="00FE3D93"/>
    <w:rsid w:val="00FE44CB"/>
    <w:rsid w:val="00FE45BD"/>
    <w:rsid w:val="00FE4D06"/>
    <w:rsid w:val="00FE574B"/>
    <w:rsid w:val="00FE6632"/>
    <w:rsid w:val="00FE66ED"/>
    <w:rsid w:val="00FE6C64"/>
    <w:rsid w:val="00FE6F3D"/>
    <w:rsid w:val="00FE76FA"/>
    <w:rsid w:val="00FE77D3"/>
    <w:rsid w:val="00FF02F7"/>
    <w:rsid w:val="00FF0D5B"/>
    <w:rsid w:val="00FF1329"/>
    <w:rsid w:val="00FF1643"/>
    <w:rsid w:val="00FF1B15"/>
    <w:rsid w:val="00FF1CE1"/>
    <w:rsid w:val="00FF1E0B"/>
    <w:rsid w:val="00FF2021"/>
    <w:rsid w:val="00FF24A7"/>
    <w:rsid w:val="00FF2948"/>
    <w:rsid w:val="00FF2A25"/>
    <w:rsid w:val="00FF2F44"/>
    <w:rsid w:val="00FF314A"/>
    <w:rsid w:val="00FF352D"/>
    <w:rsid w:val="00FF360F"/>
    <w:rsid w:val="00FF3965"/>
    <w:rsid w:val="00FF396F"/>
    <w:rsid w:val="00FF3AA1"/>
    <w:rsid w:val="00FF4397"/>
    <w:rsid w:val="00FF463E"/>
    <w:rsid w:val="00FF4BAF"/>
    <w:rsid w:val="00FF4ED3"/>
    <w:rsid w:val="00FF50D5"/>
    <w:rsid w:val="00FF537D"/>
    <w:rsid w:val="00FF64E9"/>
    <w:rsid w:val="00FF6E89"/>
    <w:rsid w:val="00FF7965"/>
    <w:rsid w:val="00FF799E"/>
    <w:rsid w:val="00FF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21F08"/>
  <w15:docId w15:val="{26DD4E34-582D-41E3-8DDB-5DB51892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E15"/>
    <w:rPr>
      <w:sz w:val="24"/>
      <w:szCs w:val="24"/>
      <w:lang w:val="bg-BG"/>
    </w:rPr>
  </w:style>
  <w:style w:type="paragraph" w:styleId="Heading1">
    <w:name w:val="heading 1"/>
    <w:basedOn w:val="Normal"/>
    <w:next w:val="Normal"/>
    <w:link w:val="Heading1Char"/>
    <w:qFormat/>
    <w:rsid w:val="00063E15"/>
    <w:pPr>
      <w:keepNext/>
      <w:jc w:val="center"/>
      <w:outlineLvl w:val="0"/>
    </w:pPr>
    <w:rPr>
      <w:b/>
      <w:bCs/>
      <w:sz w:val="28"/>
    </w:rPr>
  </w:style>
  <w:style w:type="paragraph" w:styleId="Heading2">
    <w:name w:val="heading 2"/>
    <w:basedOn w:val="Normal"/>
    <w:next w:val="Normal"/>
    <w:qFormat/>
    <w:rsid w:val="00C26FED"/>
    <w:pPr>
      <w:keepNext/>
      <w:spacing w:before="240" w:after="60"/>
      <w:outlineLvl w:val="1"/>
    </w:pPr>
    <w:rPr>
      <w:rFonts w:ascii="Arial" w:hAnsi="Arial" w:cs="Arial"/>
      <w:b/>
      <w:bCs/>
      <w:i/>
      <w:iCs/>
      <w:sz w:val="28"/>
      <w:szCs w:val="28"/>
    </w:rPr>
  </w:style>
  <w:style w:type="paragraph" w:styleId="Heading3">
    <w:name w:val="heading 3"/>
    <w:basedOn w:val="Normal"/>
    <w:next w:val="Normal"/>
    <w:uiPriority w:val="99"/>
    <w:qFormat/>
    <w:rsid w:val="002623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E15"/>
    <w:pPr>
      <w:jc w:val="center"/>
    </w:pPr>
    <w:rPr>
      <w:b/>
      <w:szCs w:val="20"/>
    </w:rPr>
  </w:style>
  <w:style w:type="paragraph" w:customStyle="1" w:styleId="ParagraphNumbering">
    <w:name w:val="Paragraph Numbering"/>
    <w:basedOn w:val="Normal"/>
    <w:rsid w:val="0028159B"/>
    <w:pPr>
      <w:numPr>
        <w:numId w:val="1"/>
      </w:numPr>
      <w:spacing w:after="240"/>
    </w:pPr>
    <w:rPr>
      <w:lang w:val="en-US"/>
    </w:rPr>
  </w:style>
  <w:style w:type="paragraph" w:styleId="FootnoteText">
    <w:name w:val="footnote text"/>
    <w:aliases w:val="Fußnotentext arial,Footnote1,Footnote2,Footnote3,stile 1,Footnote4,Footnote5,Footnote6,Footnote7,Footnote8,Footnote9,Footnote10,Footnote11,Footnote21,Footnote31,Footnote41,Footnote51,Footnote61,Footnote71,Footnote81,Footnote91,single spa"/>
    <w:basedOn w:val="Normal"/>
    <w:link w:val="FootnoteTextChar"/>
    <w:semiHidden/>
    <w:rsid w:val="003459AC"/>
    <w:rPr>
      <w:sz w:val="20"/>
      <w:szCs w:val="20"/>
      <w:lang w:val="en-US"/>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Nota,BVI fnr1"/>
    <w:rsid w:val="003459AC"/>
    <w:rPr>
      <w:vertAlign w:val="superscript"/>
    </w:rPr>
  </w:style>
  <w:style w:type="paragraph" w:styleId="BodyText">
    <w:name w:val="Body Text"/>
    <w:basedOn w:val="Normal"/>
    <w:link w:val="BodyTextChar"/>
    <w:rsid w:val="003459AC"/>
    <w:pPr>
      <w:jc w:val="both"/>
    </w:pPr>
  </w:style>
  <w:style w:type="paragraph" w:styleId="BodyTextIndent">
    <w:name w:val="Body Text Indent"/>
    <w:basedOn w:val="Normal"/>
    <w:link w:val="BodyTextIndentChar"/>
    <w:uiPriority w:val="99"/>
    <w:rsid w:val="003459AC"/>
    <w:pPr>
      <w:spacing w:after="120"/>
      <w:ind w:left="283"/>
    </w:pPr>
  </w:style>
  <w:style w:type="paragraph" w:styleId="BodyText2">
    <w:name w:val="Body Text 2"/>
    <w:basedOn w:val="Normal"/>
    <w:link w:val="BodyText2Char"/>
    <w:rsid w:val="003459AC"/>
    <w:pPr>
      <w:spacing w:after="120" w:line="480" w:lineRule="auto"/>
    </w:pPr>
  </w:style>
  <w:style w:type="paragraph" w:styleId="BlockText">
    <w:name w:val="Block Text"/>
    <w:basedOn w:val="Normal"/>
    <w:rsid w:val="003459AC"/>
    <w:pPr>
      <w:ind w:left="720" w:right="1106"/>
    </w:pPr>
    <w:rPr>
      <w:b/>
      <w:bCs/>
    </w:rPr>
  </w:style>
  <w:style w:type="table" w:styleId="TableGrid">
    <w:name w:val="Table Grid"/>
    <w:basedOn w:val="TableNormal"/>
    <w:rsid w:val="00345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Header Char1 Char,Header Char Char Char,Header Char3 Char Char Char,Header Char1 Char Char Char Char1 Char,Header Char Char Char Char Char Char1 Char,Header Char2 Char1 Char Char Char"/>
    <w:basedOn w:val="Normal"/>
    <w:link w:val="HeaderChar1"/>
    <w:rsid w:val="001D40DA"/>
    <w:pPr>
      <w:tabs>
        <w:tab w:val="center" w:pos="4153"/>
        <w:tab w:val="right" w:pos="8306"/>
      </w:tabs>
    </w:pPr>
    <w:rPr>
      <w:lang w:eastAsia="bg-BG"/>
    </w:rPr>
  </w:style>
  <w:style w:type="paragraph" w:styleId="BodyText3">
    <w:name w:val="Body Text 3"/>
    <w:basedOn w:val="Normal"/>
    <w:rsid w:val="00262391"/>
    <w:pPr>
      <w:spacing w:after="120"/>
    </w:pPr>
    <w:rPr>
      <w:sz w:val="16"/>
      <w:szCs w:val="16"/>
    </w:rPr>
  </w:style>
  <w:style w:type="paragraph" w:styleId="Footer">
    <w:name w:val="footer"/>
    <w:basedOn w:val="Normal"/>
    <w:rsid w:val="00A74112"/>
    <w:pPr>
      <w:tabs>
        <w:tab w:val="center" w:pos="4536"/>
        <w:tab w:val="right" w:pos="9072"/>
      </w:tabs>
    </w:pPr>
  </w:style>
  <w:style w:type="character" w:styleId="PageNumber">
    <w:name w:val="page number"/>
    <w:basedOn w:val="DefaultParagraphFont"/>
    <w:rsid w:val="00A74112"/>
  </w:style>
  <w:style w:type="paragraph" w:customStyle="1" w:styleId="CharChar3CharChar">
    <w:name w:val="Char Char3 Char Char"/>
    <w:basedOn w:val="Normal"/>
    <w:semiHidden/>
    <w:rsid w:val="00EE4B3F"/>
    <w:pPr>
      <w:tabs>
        <w:tab w:val="left" w:pos="709"/>
      </w:tabs>
    </w:pPr>
    <w:rPr>
      <w:rFonts w:ascii="Futura Bk" w:hAnsi="Futura Bk"/>
      <w:lang w:val="pl-PL" w:eastAsia="pl-PL"/>
    </w:rPr>
  </w:style>
  <w:style w:type="paragraph" w:customStyle="1" w:styleId="CharCharCharChar">
    <w:name w:val="Char Char Char Char"/>
    <w:basedOn w:val="Normal"/>
    <w:rsid w:val="00A14560"/>
    <w:pPr>
      <w:spacing w:after="160" w:line="240" w:lineRule="exact"/>
    </w:pPr>
    <w:rPr>
      <w:rFonts w:ascii="Tahoma" w:hAnsi="Tahoma"/>
      <w:sz w:val="20"/>
      <w:szCs w:val="20"/>
      <w:lang w:val="en-US"/>
    </w:rPr>
  </w:style>
  <w:style w:type="paragraph" w:styleId="BodyTextIndent2">
    <w:name w:val="Body Text Indent 2"/>
    <w:basedOn w:val="Normal"/>
    <w:rsid w:val="00C32154"/>
    <w:pPr>
      <w:spacing w:after="120" w:line="480" w:lineRule="auto"/>
      <w:ind w:left="283"/>
    </w:pPr>
  </w:style>
  <w:style w:type="paragraph" w:styleId="BalloonText">
    <w:name w:val="Balloon Text"/>
    <w:basedOn w:val="Normal"/>
    <w:link w:val="BalloonTextChar"/>
    <w:semiHidden/>
    <w:rsid w:val="00144BF2"/>
    <w:rPr>
      <w:rFonts w:ascii="Tahoma" w:hAnsi="Tahoma" w:cs="Tahoma"/>
      <w:sz w:val="16"/>
      <w:szCs w:val="16"/>
    </w:rPr>
  </w:style>
  <w:style w:type="paragraph" w:styleId="EndnoteText">
    <w:name w:val="endnote text"/>
    <w:basedOn w:val="Normal"/>
    <w:semiHidden/>
    <w:rsid w:val="00F870BF"/>
    <w:rPr>
      <w:sz w:val="20"/>
      <w:szCs w:val="20"/>
    </w:rPr>
  </w:style>
  <w:style w:type="character" w:styleId="EndnoteReference">
    <w:name w:val="endnote reference"/>
    <w:semiHidden/>
    <w:rsid w:val="00F870BF"/>
    <w:rPr>
      <w:vertAlign w:val="superscript"/>
    </w:rPr>
  </w:style>
  <w:style w:type="character" w:styleId="CommentReference">
    <w:name w:val="annotation reference"/>
    <w:uiPriority w:val="99"/>
    <w:semiHidden/>
    <w:rsid w:val="00A252C3"/>
    <w:rPr>
      <w:sz w:val="16"/>
      <w:szCs w:val="16"/>
    </w:rPr>
  </w:style>
  <w:style w:type="paragraph" w:styleId="CommentText">
    <w:name w:val="annotation text"/>
    <w:basedOn w:val="Normal"/>
    <w:link w:val="CommentTextChar"/>
    <w:uiPriority w:val="99"/>
    <w:semiHidden/>
    <w:rsid w:val="00A252C3"/>
    <w:rPr>
      <w:sz w:val="20"/>
      <w:szCs w:val="20"/>
    </w:rPr>
  </w:style>
  <w:style w:type="character" w:customStyle="1" w:styleId="HeaderChar1">
    <w:name w:val="Header Char1"/>
    <w:aliases w:val="Header Char Char,Header Char1 Char Char,Header Char Char Char Char,Header Char3 Char Char Char Char,Header Char1 Char Char Char Char1 Char Char,Header Char Char Char Char Char Char1 Char Char,Header Char2 Char1 Char Char Char Char"/>
    <w:link w:val="Header"/>
    <w:rsid w:val="00166023"/>
    <w:rPr>
      <w:sz w:val="24"/>
      <w:szCs w:val="24"/>
      <w:lang w:val="bg-BG" w:eastAsia="bg-BG" w:bidi="ar-SA"/>
    </w:rPr>
  </w:style>
  <w:style w:type="paragraph" w:customStyle="1" w:styleId="Char1">
    <w:name w:val="Char1"/>
    <w:basedOn w:val="Normal"/>
    <w:semiHidden/>
    <w:rsid w:val="008138E4"/>
    <w:pPr>
      <w:tabs>
        <w:tab w:val="left" w:pos="709"/>
      </w:tabs>
    </w:pPr>
    <w:rPr>
      <w:rFonts w:ascii="Futura Bk" w:hAnsi="Futura Bk"/>
      <w:lang w:val="pl-PL" w:eastAsia="pl-PL"/>
    </w:rPr>
  </w:style>
  <w:style w:type="paragraph" w:customStyle="1" w:styleId="default">
    <w:name w:val="default"/>
    <w:basedOn w:val="Normal"/>
    <w:rsid w:val="003C14B1"/>
    <w:pPr>
      <w:spacing w:before="100" w:beforeAutospacing="1" w:after="100" w:afterAutospacing="1"/>
    </w:pPr>
    <w:rPr>
      <w:lang w:eastAsia="bg-BG"/>
    </w:rPr>
  </w:style>
  <w:style w:type="character" w:styleId="Strong">
    <w:name w:val="Strong"/>
    <w:uiPriority w:val="99"/>
    <w:qFormat/>
    <w:rsid w:val="003E37A0"/>
    <w:rPr>
      <w:b/>
      <w:bCs/>
    </w:rPr>
  </w:style>
  <w:style w:type="character" w:customStyle="1" w:styleId="BalloonTextChar">
    <w:name w:val="Balloon Text Char"/>
    <w:link w:val="BalloonText"/>
    <w:semiHidden/>
    <w:locked/>
    <w:rsid w:val="00DD1EFE"/>
    <w:rPr>
      <w:rFonts w:ascii="Tahoma" w:hAnsi="Tahoma" w:cs="Tahoma"/>
      <w:sz w:val="16"/>
      <w:szCs w:val="16"/>
      <w:lang w:val="en-GB" w:eastAsia="en-US" w:bidi="ar-SA"/>
    </w:rPr>
  </w:style>
  <w:style w:type="paragraph" w:customStyle="1" w:styleId="Default0">
    <w:name w:val="Default"/>
    <w:rsid w:val="00DD1EFE"/>
    <w:pPr>
      <w:autoSpaceDE w:val="0"/>
      <w:autoSpaceDN w:val="0"/>
      <w:adjustRightInd w:val="0"/>
    </w:pPr>
    <w:rPr>
      <w:rFonts w:ascii="Calibri" w:hAnsi="Calibri" w:cs="Calibri"/>
      <w:color w:val="000000"/>
      <w:sz w:val="24"/>
      <w:szCs w:val="24"/>
      <w:lang w:val="bg-BG"/>
    </w:rPr>
  </w:style>
  <w:style w:type="character" w:customStyle="1" w:styleId="FootnoteTextChar">
    <w:name w:val="Footnote Text Char"/>
    <w:aliases w:val="Fußnotentext arial Char,Footnote1 Char,Footnote2 Char,Footnote3 Char,stile 1 Char,Footnote4 Char,Footnote5 Char,Footnote6 Char,Footnote7 Char,Footnote8 Char,Footnote9 Char,Footnote10 Char,Footnote11 Char,Footnote21 Char"/>
    <w:link w:val="FootnoteText"/>
    <w:rsid w:val="009A3FA1"/>
    <w:rPr>
      <w:lang w:val="en-US" w:eastAsia="en-US" w:bidi="ar-SA"/>
    </w:rPr>
  </w:style>
  <w:style w:type="paragraph" w:customStyle="1" w:styleId="CharCharCharChar1">
    <w:name w:val="Char Char Char Char1"/>
    <w:basedOn w:val="Normal"/>
    <w:semiHidden/>
    <w:rsid w:val="00B20BB9"/>
    <w:pPr>
      <w:tabs>
        <w:tab w:val="left" w:pos="709"/>
      </w:tabs>
    </w:pPr>
    <w:rPr>
      <w:rFonts w:ascii="Futura Bk" w:hAnsi="Futura Bk"/>
      <w:lang w:val="pl-PL" w:eastAsia="pl-PL"/>
    </w:rPr>
  </w:style>
  <w:style w:type="character" w:customStyle="1" w:styleId="BodyText2Char">
    <w:name w:val="Body Text 2 Char"/>
    <w:link w:val="BodyText2"/>
    <w:locked/>
    <w:rsid w:val="002D5811"/>
    <w:rPr>
      <w:sz w:val="24"/>
      <w:szCs w:val="24"/>
      <w:lang w:val="en-GB" w:eastAsia="en-US" w:bidi="ar-SA"/>
    </w:rPr>
  </w:style>
  <w:style w:type="character" w:styleId="Hyperlink">
    <w:name w:val="Hyperlink"/>
    <w:uiPriority w:val="99"/>
    <w:unhideWhenUsed/>
    <w:rsid w:val="00231385"/>
    <w:rPr>
      <w:strike w:val="0"/>
      <w:dstrike w:val="0"/>
      <w:color w:val="004A8F"/>
      <w:u w:val="none"/>
      <w:effect w:val="none"/>
    </w:rPr>
  </w:style>
  <w:style w:type="paragraph" w:styleId="NormalWeb">
    <w:name w:val="Normal (Web)"/>
    <w:basedOn w:val="Normal"/>
    <w:uiPriority w:val="99"/>
    <w:unhideWhenUsed/>
    <w:rsid w:val="00231385"/>
    <w:pPr>
      <w:spacing w:before="100" w:beforeAutospacing="1" w:after="100" w:afterAutospacing="1" w:line="312" w:lineRule="atLeast"/>
      <w:jc w:val="both"/>
    </w:pPr>
    <w:rPr>
      <w:lang w:val="en-US"/>
    </w:rPr>
  </w:style>
  <w:style w:type="character" w:customStyle="1" w:styleId="ala13">
    <w:name w:val="al_a13"/>
    <w:uiPriority w:val="99"/>
    <w:rsid w:val="00B7424D"/>
  </w:style>
  <w:style w:type="paragraph" w:styleId="ListParagraph">
    <w:name w:val="List Paragraph"/>
    <w:aliases w:val="Recommendatio,Párrafo de lista,Recommendation,OBC Bullet,Dot pt,F5 List Paragraph,No Spacing1,List Paragraph Char Char Char,Indicator Text,Numbered Para 1,Bullet 1,Bullet Points,List Paragraph2,L,3,References,Colorful List - Accent 11"/>
    <w:basedOn w:val="Normal"/>
    <w:link w:val="ListParagraphChar"/>
    <w:uiPriority w:val="34"/>
    <w:qFormat/>
    <w:rsid w:val="00C818E7"/>
    <w:pPr>
      <w:spacing w:after="120" w:line="360" w:lineRule="auto"/>
      <w:ind w:left="720" w:firstLine="720"/>
      <w:contextualSpacing/>
      <w:jc w:val="both"/>
    </w:pPr>
    <w:rPr>
      <w:rFonts w:ascii="Arial" w:hAnsi="Arial"/>
      <w:szCs w:val="20"/>
    </w:rPr>
  </w:style>
  <w:style w:type="paragraph" w:customStyle="1" w:styleId="CharChar3">
    <w:name w:val="Char Char3"/>
    <w:basedOn w:val="Normal"/>
    <w:semiHidden/>
    <w:rsid w:val="009269F4"/>
    <w:pPr>
      <w:tabs>
        <w:tab w:val="left" w:pos="709"/>
      </w:tabs>
    </w:pPr>
    <w:rPr>
      <w:rFonts w:ascii="Futura Bk" w:hAnsi="Futura Bk"/>
      <w:lang w:val="pl-PL" w:eastAsia="pl-PL"/>
    </w:rPr>
  </w:style>
  <w:style w:type="character" w:customStyle="1" w:styleId="BodyTextIndentChar">
    <w:name w:val="Body Text Indent Char"/>
    <w:link w:val="BodyTextIndent"/>
    <w:uiPriority w:val="99"/>
    <w:locked/>
    <w:rsid w:val="00DA31ED"/>
    <w:rPr>
      <w:sz w:val="24"/>
      <w:szCs w:val="24"/>
      <w:lang w:val="bg-BG"/>
    </w:rPr>
  </w:style>
  <w:style w:type="paragraph" w:customStyle="1" w:styleId="NormalFirstline">
    <w:name w:val="Normal + First line"/>
    <w:aliases w:val="1.25 cm,After 6 pt"/>
    <w:basedOn w:val="Normal"/>
    <w:rsid w:val="00BD3B54"/>
    <w:rPr>
      <w:sz w:val="20"/>
      <w:szCs w:val="20"/>
    </w:rPr>
  </w:style>
  <w:style w:type="paragraph" w:styleId="CommentSubject">
    <w:name w:val="annotation subject"/>
    <w:basedOn w:val="CommentText"/>
    <w:next w:val="CommentText"/>
    <w:link w:val="CommentSubjectChar"/>
    <w:semiHidden/>
    <w:rsid w:val="00381745"/>
    <w:rPr>
      <w:b/>
      <w:bCs/>
    </w:rPr>
  </w:style>
  <w:style w:type="character" w:customStyle="1" w:styleId="CommentTextChar">
    <w:name w:val="Comment Text Char"/>
    <w:link w:val="CommentText"/>
    <w:uiPriority w:val="99"/>
    <w:semiHidden/>
    <w:rsid w:val="009F38CE"/>
    <w:rPr>
      <w:lang w:eastAsia="en-US"/>
    </w:rPr>
  </w:style>
  <w:style w:type="character" w:customStyle="1" w:styleId="CommentSubjectChar">
    <w:name w:val="Comment Subject Char"/>
    <w:link w:val="CommentSubject"/>
    <w:semiHidden/>
    <w:rsid w:val="009F38CE"/>
    <w:rPr>
      <w:b/>
      <w:bCs/>
      <w:lang w:eastAsia="en-US"/>
    </w:rPr>
  </w:style>
  <w:style w:type="character" w:customStyle="1" w:styleId="TitleChar">
    <w:name w:val="Title Char"/>
    <w:link w:val="Title"/>
    <w:rsid w:val="00C1518C"/>
    <w:rPr>
      <w:b/>
      <w:sz w:val="24"/>
      <w:lang w:eastAsia="en-US"/>
    </w:rPr>
  </w:style>
  <w:style w:type="character" w:customStyle="1" w:styleId="BodyTextChar">
    <w:name w:val="Body Text Char"/>
    <w:link w:val="BodyText"/>
    <w:rsid w:val="00A10AC7"/>
    <w:rPr>
      <w:sz w:val="24"/>
      <w:szCs w:val="24"/>
      <w:lang w:val="bg-BG"/>
    </w:rPr>
  </w:style>
  <w:style w:type="paragraph" w:styleId="Revision">
    <w:name w:val="Revision"/>
    <w:hidden/>
    <w:uiPriority w:val="99"/>
    <w:semiHidden/>
    <w:rsid w:val="00F32913"/>
    <w:rPr>
      <w:sz w:val="24"/>
      <w:szCs w:val="24"/>
      <w:lang w:val="bg-BG"/>
    </w:rPr>
  </w:style>
  <w:style w:type="paragraph" w:customStyle="1" w:styleId="m">
    <w:name w:val="m"/>
    <w:basedOn w:val="Normal"/>
    <w:rsid w:val="00675E99"/>
    <w:pPr>
      <w:spacing w:before="100" w:beforeAutospacing="1" w:after="100" w:afterAutospacing="1"/>
    </w:pPr>
    <w:rPr>
      <w:lang w:eastAsia="bg-BG"/>
    </w:rPr>
  </w:style>
  <w:style w:type="character" w:customStyle="1" w:styleId="Heading1Char">
    <w:name w:val="Heading 1 Char"/>
    <w:basedOn w:val="DefaultParagraphFont"/>
    <w:link w:val="Heading1"/>
    <w:rsid w:val="002E2C27"/>
    <w:rPr>
      <w:b/>
      <w:bCs/>
      <w:sz w:val="28"/>
      <w:szCs w:val="24"/>
      <w:lang w:val="bg-BG"/>
    </w:rPr>
  </w:style>
  <w:style w:type="character" w:customStyle="1" w:styleId="ListParagraphChar">
    <w:name w:val="List Paragraph Char"/>
    <w:aliases w:val="Recommendatio Char,Párrafo de lista Char,Recommendation Char,OBC Bullet Char,Dot pt Char,F5 List Paragraph Char,No Spacing1 Char,List Paragraph Char Char Char Char,Indicator Text Char,Numbered Para 1 Char,Bullet 1 Char,L Char,3 Char"/>
    <w:link w:val="ListParagraph"/>
    <w:uiPriority w:val="34"/>
    <w:qFormat/>
    <w:locked/>
    <w:rsid w:val="00207C9E"/>
    <w:rPr>
      <w:rFonts w:ascii="Arial" w:hAnsi="Arial"/>
      <w:sz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0982">
      <w:bodyDiv w:val="1"/>
      <w:marLeft w:val="0"/>
      <w:marRight w:val="0"/>
      <w:marTop w:val="0"/>
      <w:marBottom w:val="0"/>
      <w:divBdr>
        <w:top w:val="none" w:sz="0" w:space="0" w:color="auto"/>
        <w:left w:val="none" w:sz="0" w:space="0" w:color="auto"/>
        <w:bottom w:val="none" w:sz="0" w:space="0" w:color="auto"/>
        <w:right w:val="none" w:sz="0" w:space="0" w:color="auto"/>
      </w:divBdr>
    </w:div>
    <w:div w:id="146098401">
      <w:bodyDiv w:val="1"/>
      <w:marLeft w:val="0"/>
      <w:marRight w:val="0"/>
      <w:marTop w:val="0"/>
      <w:marBottom w:val="0"/>
      <w:divBdr>
        <w:top w:val="none" w:sz="0" w:space="0" w:color="auto"/>
        <w:left w:val="none" w:sz="0" w:space="0" w:color="auto"/>
        <w:bottom w:val="none" w:sz="0" w:space="0" w:color="auto"/>
        <w:right w:val="none" w:sz="0" w:space="0" w:color="auto"/>
      </w:divBdr>
    </w:div>
    <w:div w:id="272128182">
      <w:bodyDiv w:val="1"/>
      <w:marLeft w:val="0"/>
      <w:marRight w:val="0"/>
      <w:marTop w:val="0"/>
      <w:marBottom w:val="0"/>
      <w:divBdr>
        <w:top w:val="none" w:sz="0" w:space="0" w:color="auto"/>
        <w:left w:val="none" w:sz="0" w:space="0" w:color="auto"/>
        <w:bottom w:val="none" w:sz="0" w:space="0" w:color="auto"/>
        <w:right w:val="none" w:sz="0" w:space="0" w:color="auto"/>
      </w:divBdr>
    </w:div>
    <w:div w:id="488985167">
      <w:bodyDiv w:val="1"/>
      <w:marLeft w:val="0"/>
      <w:marRight w:val="0"/>
      <w:marTop w:val="0"/>
      <w:marBottom w:val="0"/>
      <w:divBdr>
        <w:top w:val="none" w:sz="0" w:space="0" w:color="auto"/>
        <w:left w:val="none" w:sz="0" w:space="0" w:color="auto"/>
        <w:bottom w:val="none" w:sz="0" w:space="0" w:color="auto"/>
        <w:right w:val="none" w:sz="0" w:space="0" w:color="auto"/>
      </w:divBdr>
    </w:div>
    <w:div w:id="490483776">
      <w:bodyDiv w:val="1"/>
      <w:marLeft w:val="0"/>
      <w:marRight w:val="0"/>
      <w:marTop w:val="0"/>
      <w:marBottom w:val="0"/>
      <w:divBdr>
        <w:top w:val="none" w:sz="0" w:space="0" w:color="auto"/>
        <w:left w:val="none" w:sz="0" w:space="0" w:color="auto"/>
        <w:bottom w:val="none" w:sz="0" w:space="0" w:color="auto"/>
        <w:right w:val="none" w:sz="0" w:space="0" w:color="auto"/>
      </w:divBdr>
    </w:div>
    <w:div w:id="567035072">
      <w:bodyDiv w:val="1"/>
      <w:marLeft w:val="0"/>
      <w:marRight w:val="0"/>
      <w:marTop w:val="0"/>
      <w:marBottom w:val="0"/>
      <w:divBdr>
        <w:top w:val="none" w:sz="0" w:space="0" w:color="auto"/>
        <w:left w:val="none" w:sz="0" w:space="0" w:color="auto"/>
        <w:bottom w:val="none" w:sz="0" w:space="0" w:color="auto"/>
        <w:right w:val="none" w:sz="0" w:space="0" w:color="auto"/>
      </w:divBdr>
      <w:divsChild>
        <w:div w:id="1294481459">
          <w:marLeft w:val="0"/>
          <w:marRight w:val="0"/>
          <w:marTop w:val="0"/>
          <w:marBottom w:val="0"/>
          <w:divBdr>
            <w:top w:val="none" w:sz="0" w:space="0" w:color="auto"/>
            <w:left w:val="none" w:sz="0" w:space="0" w:color="auto"/>
            <w:bottom w:val="none" w:sz="0" w:space="0" w:color="auto"/>
            <w:right w:val="none" w:sz="0" w:space="0" w:color="auto"/>
          </w:divBdr>
        </w:div>
      </w:divsChild>
    </w:div>
    <w:div w:id="669023205">
      <w:bodyDiv w:val="1"/>
      <w:marLeft w:val="0"/>
      <w:marRight w:val="0"/>
      <w:marTop w:val="0"/>
      <w:marBottom w:val="0"/>
      <w:divBdr>
        <w:top w:val="none" w:sz="0" w:space="0" w:color="auto"/>
        <w:left w:val="none" w:sz="0" w:space="0" w:color="auto"/>
        <w:bottom w:val="none" w:sz="0" w:space="0" w:color="auto"/>
        <w:right w:val="none" w:sz="0" w:space="0" w:color="auto"/>
      </w:divBdr>
    </w:div>
    <w:div w:id="721250821">
      <w:bodyDiv w:val="1"/>
      <w:marLeft w:val="0"/>
      <w:marRight w:val="0"/>
      <w:marTop w:val="0"/>
      <w:marBottom w:val="0"/>
      <w:divBdr>
        <w:top w:val="none" w:sz="0" w:space="0" w:color="auto"/>
        <w:left w:val="none" w:sz="0" w:space="0" w:color="auto"/>
        <w:bottom w:val="none" w:sz="0" w:space="0" w:color="auto"/>
        <w:right w:val="none" w:sz="0" w:space="0" w:color="auto"/>
      </w:divBdr>
    </w:div>
    <w:div w:id="769817748">
      <w:bodyDiv w:val="1"/>
      <w:marLeft w:val="0"/>
      <w:marRight w:val="0"/>
      <w:marTop w:val="0"/>
      <w:marBottom w:val="0"/>
      <w:divBdr>
        <w:top w:val="none" w:sz="0" w:space="0" w:color="auto"/>
        <w:left w:val="none" w:sz="0" w:space="0" w:color="auto"/>
        <w:bottom w:val="none" w:sz="0" w:space="0" w:color="auto"/>
        <w:right w:val="none" w:sz="0" w:space="0" w:color="auto"/>
      </w:divBdr>
    </w:div>
    <w:div w:id="1059985730">
      <w:bodyDiv w:val="1"/>
      <w:marLeft w:val="0"/>
      <w:marRight w:val="0"/>
      <w:marTop w:val="0"/>
      <w:marBottom w:val="0"/>
      <w:divBdr>
        <w:top w:val="none" w:sz="0" w:space="0" w:color="auto"/>
        <w:left w:val="none" w:sz="0" w:space="0" w:color="auto"/>
        <w:bottom w:val="none" w:sz="0" w:space="0" w:color="auto"/>
        <w:right w:val="none" w:sz="0" w:space="0" w:color="auto"/>
      </w:divBdr>
    </w:div>
    <w:div w:id="1228757899">
      <w:bodyDiv w:val="1"/>
      <w:marLeft w:val="0"/>
      <w:marRight w:val="0"/>
      <w:marTop w:val="0"/>
      <w:marBottom w:val="0"/>
      <w:divBdr>
        <w:top w:val="none" w:sz="0" w:space="0" w:color="auto"/>
        <w:left w:val="none" w:sz="0" w:space="0" w:color="auto"/>
        <w:bottom w:val="none" w:sz="0" w:space="0" w:color="auto"/>
        <w:right w:val="none" w:sz="0" w:space="0" w:color="auto"/>
      </w:divBdr>
      <w:divsChild>
        <w:div w:id="1764762949">
          <w:marLeft w:val="0"/>
          <w:marRight w:val="0"/>
          <w:marTop w:val="0"/>
          <w:marBottom w:val="0"/>
          <w:divBdr>
            <w:top w:val="none" w:sz="0" w:space="0" w:color="auto"/>
            <w:left w:val="none" w:sz="0" w:space="0" w:color="auto"/>
            <w:bottom w:val="none" w:sz="0" w:space="0" w:color="auto"/>
            <w:right w:val="none" w:sz="0" w:space="0" w:color="auto"/>
          </w:divBdr>
          <w:divsChild>
            <w:div w:id="1689597285">
              <w:marLeft w:val="0"/>
              <w:marRight w:val="0"/>
              <w:marTop w:val="0"/>
              <w:marBottom w:val="0"/>
              <w:divBdr>
                <w:top w:val="none" w:sz="0" w:space="0" w:color="auto"/>
                <w:left w:val="none" w:sz="0" w:space="0" w:color="auto"/>
                <w:bottom w:val="none" w:sz="0" w:space="0" w:color="auto"/>
                <w:right w:val="none" w:sz="0" w:space="0" w:color="auto"/>
              </w:divBdr>
              <w:divsChild>
                <w:div w:id="754782278">
                  <w:marLeft w:val="0"/>
                  <w:marRight w:val="0"/>
                  <w:marTop w:val="0"/>
                  <w:marBottom w:val="0"/>
                  <w:divBdr>
                    <w:top w:val="none" w:sz="0" w:space="0" w:color="auto"/>
                    <w:left w:val="none" w:sz="0" w:space="0" w:color="auto"/>
                    <w:bottom w:val="none" w:sz="0" w:space="0" w:color="auto"/>
                    <w:right w:val="none" w:sz="0" w:space="0" w:color="auto"/>
                  </w:divBdr>
                  <w:divsChild>
                    <w:div w:id="20970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555913">
      <w:bodyDiv w:val="1"/>
      <w:marLeft w:val="0"/>
      <w:marRight w:val="0"/>
      <w:marTop w:val="0"/>
      <w:marBottom w:val="0"/>
      <w:divBdr>
        <w:top w:val="none" w:sz="0" w:space="0" w:color="auto"/>
        <w:left w:val="none" w:sz="0" w:space="0" w:color="auto"/>
        <w:bottom w:val="none" w:sz="0" w:space="0" w:color="auto"/>
        <w:right w:val="none" w:sz="0" w:space="0" w:color="auto"/>
      </w:divBdr>
      <w:divsChild>
        <w:div w:id="1132287915">
          <w:marLeft w:val="240"/>
          <w:marRight w:val="240"/>
          <w:marTop w:val="0"/>
          <w:marBottom w:val="0"/>
          <w:divBdr>
            <w:top w:val="none" w:sz="0" w:space="0" w:color="auto"/>
            <w:left w:val="none" w:sz="0" w:space="0" w:color="auto"/>
            <w:bottom w:val="none" w:sz="0" w:space="0" w:color="auto"/>
            <w:right w:val="none" w:sz="0" w:space="0" w:color="auto"/>
          </w:divBdr>
          <w:divsChild>
            <w:div w:id="2001541574">
              <w:marLeft w:val="0"/>
              <w:marRight w:val="0"/>
              <w:marTop w:val="0"/>
              <w:marBottom w:val="120"/>
              <w:divBdr>
                <w:top w:val="none" w:sz="0" w:space="0" w:color="auto"/>
                <w:left w:val="none" w:sz="0" w:space="0" w:color="auto"/>
                <w:bottom w:val="single" w:sz="6" w:space="0" w:color="A7A9AC"/>
                <w:right w:val="none" w:sz="0" w:space="0" w:color="auto"/>
              </w:divBdr>
            </w:div>
          </w:divsChild>
        </w:div>
      </w:divsChild>
    </w:div>
    <w:div w:id="1334607600">
      <w:bodyDiv w:val="1"/>
      <w:marLeft w:val="0"/>
      <w:marRight w:val="0"/>
      <w:marTop w:val="0"/>
      <w:marBottom w:val="0"/>
      <w:divBdr>
        <w:top w:val="none" w:sz="0" w:space="0" w:color="auto"/>
        <w:left w:val="none" w:sz="0" w:space="0" w:color="auto"/>
        <w:bottom w:val="none" w:sz="0" w:space="0" w:color="auto"/>
        <w:right w:val="none" w:sz="0" w:space="0" w:color="auto"/>
      </w:divBdr>
    </w:div>
    <w:div w:id="1449738080">
      <w:bodyDiv w:val="1"/>
      <w:marLeft w:val="0"/>
      <w:marRight w:val="0"/>
      <w:marTop w:val="0"/>
      <w:marBottom w:val="0"/>
      <w:divBdr>
        <w:top w:val="none" w:sz="0" w:space="0" w:color="auto"/>
        <w:left w:val="none" w:sz="0" w:space="0" w:color="auto"/>
        <w:bottom w:val="none" w:sz="0" w:space="0" w:color="auto"/>
        <w:right w:val="none" w:sz="0" w:space="0" w:color="auto"/>
      </w:divBdr>
    </w:div>
    <w:div w:id="1465393858">
      <w:bodyDiv w:val="1"/>
      <w:marLeft w:val="0"/>
      <w:marRight w:val="0"/>
      <w:marTop w:val="0"/>
      <w:marBottom w:val="0"/>
      <w:divBdr>
        <w:top w:val="none" w:sz="0" w:space="0" w:color="auto"/>
        <w:left w:val="none" w:sz="0" w:space="0" w:color="auto"/>
        <w:bottom w:val="none" w:sz="0" w:space="0" w:color="auto"/>
        <w:right w:val="none" w:sz="0" w:space="0" w:color="auto"/>
      </w:divBdr>
    </w:div>
    <w:div w:id="1523275988">
      <w:bodyDiv w:val="1"/>
      <w:marLeft w:val="0"/>
      <w:marRight w:val="0"/>
      <w:marTop w:val="0"/>
      <w:marBottom w:val="0"/>
      <w:divBdr>
        <w:top w:val="none" w:sz="0" w:space="0" w:color="auto"/>
        <w:left w:val="none" w:sz="0" w:space="0" w:color="auto"/>
        <w:bottom w:val="none" w:sz="0" w:space="0" w:color="auto"/>
        <w:right w:val="none" w:sz="0" w:space="0" w:color="auto"/>
      </w:divBdr>
    </w:div>
    <w:div w:id="1640960128">
      <w:bodyDiv w:val="1"/>
      <w:marLeft w:val="0"/>
      <w:marRight w:val="0"/>
      <w:marTop w:val="0"/>
      <w:marBottom w:val="0"/>
      <w:divBdr>
        <w:top w:val="none" w:sz="0" w:space="0" w:color="auto"/>
        <w:left w:val="none" w:sz="0" w:space="0" w:color="auto"/>
        <w:bottom w:val="none" w:sz="0" w:space="0" w:color="auto"/>
        <w:right w:val="none" w:sz="0" w:space="0" w:color="auto"/>
      </w:divBdr>
    </w:div>
    <w:div w:id="1752582637">
      <w:bodyDiv w:val="1"/>
      <w:marLeft w:val="0"/>
      <w:marRight w:val="0"/>
      <w:marTop w:val="0"/>
      <w:marBottom w:val="0"/>
      <w:divBdr>
        <w:top w:val="none" w:sz="0" w:space="0" w:color="auto"/>
        <w:left w:val="none" w:sz="0" w:space="0" w:color="auto"/>
        <w:bottom w:val="none" w:sz="0" w:space="0" w:color="auto"/>
        <w:right w:val="none" w:sz="0" w:space="0" w:color="auto"/>
      </w:divBdr>
    </w:div>
    <w:div w:id="1821458686">
      <w:bodyDiv w:val="1"/>
      <w:marLeft w:val="0"/>
      <w:marRight w:val="0"/>
      <w:marTop w:val="0"/>
      <w:marBottom w:val="0"/>
      <w:divBdr>
        <w:top w:val="none" w:sz="0" w:space="0" w:color="auto"/>
        <w:left w:val="none" w:sz="0" w:space="0" w:color="auto"/>
        <w:bottom w:val="none" w:sz="0" w:space="0" w:color="auto"/>
        <w:right w:val="none" w:sz="0" w:space="0" w:color="auto"/>
      </w:divBdr>
    </w:div>
    <w:div w:id="1929189253">
      <w:bodyDiv w:val="1"/>
      <w:marLeft w:val="0"/>
      <w:marRight w:val="0"/>
      <w:marTop w:val="0"/>
      <w:marBottom w:val="0"/>
      <w:divBdr>
        <w:top w:val="none" w:sz="0" w:space="0" w:color="auto"/>
        <w:left w:val="none" w:sz="0" w:space="0" w:color="auto"/>
        <w:bottom w:val="none" w:sz="0" w:space="0" w:color="auto"/>
        <w:right w:val="none" w:sz="0" w:space="0" w:color="auto"/>
      </w:divBdr>
    </w:div>
    <w:div w:id="2005039560">
      <w:bodyDiv w:val="1"/>
      <w:marLeft w:val="0"/>
      <w:marRight w:val="0"/>
      <w:marTop w:val="0"/>
      <w:marBottom w:val="0"/>
      <w:divBdr>
        <w:top w:val="none" w:sz="0" w:space="0" w:color="auto"/>
        <w:left w:val="none" w:sz="0" w:space="0" w:color="auto"/>
        <w:bottom w:val="none" w:sz="0" w:space="0" w:color="auto"/>
        <w:right w:val="none" w:sz="0" w:space="0" w:color="auto"/>
      </w:divBdr>
    </w:div>
    <w:div w:id="2062440967">
      <w:bodyDiv w:val="1"/>
      <w:marLeft w:val="0"/>
      <w:marRight w:val="0"/>
      <w:marTop w:val="0"/>
      <w:marBottom w:val="0"/>
      <w:divBdr>
        <w:top w:val="none" w:sz="0" w:space="0" w:color="auto"/>
        <w:left w:val="none" w:sz="0" w:space="0" w:color="auto"/>
        <w:bottom w:val="none" w:sz="0" w:space="0" w:color="auto"/>
        <w:right w:val="none" w:sz="0" w:space="0" w:color="auto"/>
      </w:divBdr>
    </w:div>
    <w:div w:id="2072146161">
      <w:bodyDiv w:val="1"/>
      <w:marLeft w:val="0"/>
      <w:marRight w:val="0"/>
      <w:marTop w:val="0"/>
      <w:marBottom w:val="0"/>
      <w:divBdr>
        <w:top w:val="none" w:sz="0" w:space="0" w:color="auto"/>
        <w:left w:val="none" w:sz="0" w:space="0" w:color="auto"/>
        <w:bottom w:val="none" w:sz="0" w:space="0" w:color="auto"/>
        <w:right w:val="none" w:sz="0" w:space="0" w:color="auto"/>
      </w:divBdr>
    </w:div>
    <w:div w:id="2078552652">
      <w:bodyDiv w:val="1"/>
      <w:marLeft w:val="0"/>
      <w:marRight w:val="0"/>
      <w:marTop w:val="0"/>
      <w:marBottom w:val="0"/>
      <w:divBdr>
        <w:top w:val="none" w:sz="0" w:space="0" w:color="auto"/>
        <w:left w:val="none" w:sz="0" w:space="0" w:color="auto"/>
        <w:bottom w:val="none" w:sz="0" w:space="0" w:color="auto"/>
        <w:right w:val="none" w:sz="0" w:space="0" w:color="auto"/>
      </w:divBdr>
      <w:divsChild>
        <w:div w:id="1512406735">
          <w:marLeft w:val="0"/>
          <w:marRight w:val="0"/>
          <w:marTop w:val="0"/>
          <w:marBottom w:val="0"/>
          <w:divBdr>
            <w:top w:val="none" w:sz="0" w:space="0" w:color="auto"/>
            <w:left w:val="none" w:sz="0" w:space="0" w:color="auto"/>
            <w:bottom w:val="none" w:sz="0" w:space="0" w:color="auto"/>
            <w:right w:val="none" w:sz="0" w:space="0" w:color="auto"/>
          </w:divBdr>
          <w:divsChild>
            <w:div w:id="1991667719">
              <w:marLeft w:val="0"/>
              <w:marRight w:val="0"/>
              <w:marTop w:val="0"/>
              <w:marBottom w:val="0"/>
              <w:divBdr>
                <w:top w:val="none" w:sz="0" w:space="0" w:color="auto"/>
                <w:left w:val="none" w:sz="0" w:space="0" w:color="auto"/>
                <w:bottom w:val="none" w:sz="0" w:space="0" w:color="auto"/>
                <w:right w:val="none" w:sz="0" w:space="0" w:color="auto"/>
              </w:divBdr>
              <w:divsChild>
                <w:div w:id="1413895954">
                  <w:marLeft w:val="0"/>
                  <w:marRight w:val="0"/>
                  <w:marTop w:val="0"/>
                  <w:marBottom w:val="0"/>
                  <w:divBdr>
                    <w:top w:val="none" w:sz="0" w:space="0" w:color="auto"/>
                    <w:left w:val="none" w:sz="0" w:space="0" w:color="auto"/>
                    <w:bottom w:val="none" w:sz="0" w:space="0" w:color="auto"/>
                    <w:right w:val="none" w:sz="0" w:space="0" w:color="auto"/>
                  </w:divBdr>
                  <w:divsChild>
                    <w:div w:id="8728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mfshare\MF\&#1044;&#1066;&#1056;&#1046;&#1040;&#1042;&#1053;&#1054;%20&#1057;&#1066;&#1050;&#1056;&#1054;&#1042;&#1048;&#1065;&#1045;\&#1050;&#1041;&#1055;&#1040;\public\&#1048;&#1085;&#1092;&#1086;&#1088;&#1084;&#1072;&#1094;&#1080;&#1086;&#1085;&#1077;&#1085;%20&#1073;&#1102;&#1083;&#1077;&#1090;&#1080;&#1085;\2023\June\CFP_STATE_BUDGET_22-23_trim.xls"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0" i="0" u="none" strike="noStrike" baseline="0">
                <a:solidFill>
                  <a:srgbClr val="000000"/>
                </a:solidFill>
                <a:latin typeface="Times New Roman" panose="02020603050405020304" pitchFamily="18" charset="0"/>
                <a:ea typeface="Arial"/>
                <a:cs typeface="Times New Roman" panose="02020603050405020304" pitchFamily="18" charset="0"/>
              </a:defRPr>
            </a:pPr>
            <a:r>
              <a:rPr lang="bg-BG" sz="900" b="1" i="0" u="none" strike="noStrike" baseline="0">
                <a:solidFill>
                  <a:srgbClr val="000000"/>
                </a:solidFill>
                <a:latin typeface="Times New Roman" panose="02020603050405020304" pitchFamily="18" charset="0"/>
                <a:cs typeface="Times New Roman" panose="02020603050405020304" pitchFamily="18" charset="0"/>
              </a:rPr>
              <a:t>Приходи и помощи по ДБ към юни  2022 г. и 2023 г.</a:t>
            </a:r>
          </a:p>
        </c:rich>
      </c:tx>
      <c:layout>
        <c:manualLayout>
          <c:xMode val="edge"/>
          <c:yMode val="edge"/>
          <c:x val="0.28658679082235383"/>
          <c:y val="7.235771829099397E-3"/>
        </c:manualLayout>
      </c:layout>
      <c:overlay val="0"/>
      <c:spPr>
        <a:noFill/>
        <a:ln w="25400">
          <a:noFill/>
        </a:ln>
      </c:spPr>
    </c:title>
    <c:autoTitleDeleted val="0"/>
    <c:view3D>
      <c:rotX val="24"/>
      <c:rotY val="40"/>
      <c:depthPercent val="100"/>
      <c:rAngAx val="1"/>
    </c:view3D>
    <c:floor>
      <c:thickness val="0"/>
      <c:spPr>
        <a:solidFill>
          <a:schemeClr val="bg1">
            <a:lumMod val="95000"/>
          </a:schemeClr>
        </a:solidFill>
        <a:ln w="3175">
          <a:solidFill>
            <a:srgbClr val="000000"/>
          </a:solidFill>
          <a:prstDash val="solid"/>
        </a:ln>
      </c:spPr>
    </c:floor>
    <c:sideWall>
      <c:thickness val="0"/>
      <c:spPr>
        <a:gradFill rotWithShape="0">
          <a:gsLst>
            <a:gs pos="0">
              <a:schemeClr val="bg1"/>
            </a:gs>
            <a:gs pos="100000">
              <a:srgbClr xmlns:mc="http://schemas.openxmlformats.org/markup-compatibility/2006" xmlns:a14="http://schemas.microsoft.com/office/drawing/2010/main" val="000000" mc:Ignorable="a14" a14:legacySpreadsheetColorIndex="9">
                <a:gamma/>
                <a:shade val="46275"/>
                <a:invGamma/>
              </a:srgbClr>
            </a:gs>
          </a:gsLst>
          <a:lin ang="5400000" scaled="1"/>
        </a:gradFill>
        <a:ln w="3175">
          <a:solidFill>
            <a:srgbClr val="FFFFFF"/>
          </a:solidFill>
          <a:prstDash val="solid"/>
        </a:ln>
      </c:spPr>
    </c:sideWall>
    <c:backWall>
      <c:thickness val="0"/>
      <c:spPr>
        <a:pattFill prst="pct5">
          <a:fgClr>
            <a:srgbClr val="FFFFFF"/>
          </a:fgClr>
          <a:bgClr>
            <a:schemeClr val="bg1"/>
          </a:bgClr>
        </a:pattFill>
        <a:ln w="3175">
          <a:solidFill>
            <a:srgbClr val="FFFFFF"/>
          </a:solidFill>
          <a:prstDash val="solid"/>
        </a:ln>
      </c:spPr>
    </c:backWall>
    <c:plotArea>
      <c:layout>
        <c:manualLayout>
          <c:layoutTarget val="inner"/>
          <c:xMode val="edge"/>
          <c:yMode val="edge"/>
          <c:x val="0.17303140126758598"/>
          <c:y val="8.5923314401273612E-2"/>
          <c:w val="0.70565057441590295"/>
          <c:h val="0.73550867282893984"/>
        </c:manualLayout>
      </c:layout>
      <c:bar3DChart>
        <c:barDir val="bar"/>
        <c:grouping val="clustered"/>
        <c:varyColors val="0"/>
        <c:ser>
          <c:idx val="0"/>
          <c:order val="0"/>
          <c:tx>
            <c:strRef>
              <c:f>Sheet1!$D$77</c:f>
              <c:strCache>
                <c:ptCount val="1"/>
                <c:pt idx="0">
                  <c:v>Отчет юни  2023 г.</c:v>
                </c:pt>
              </c:strCache>
            </c:strRef>
          </c:tx>
          <c:spPr>
            <a:solidFill>
              <a:schemeClr val="tx1">
                <a:lumMod val="65000"/>
                <a:lumOff val="35000"/>
              </a:schemeClr>
            </a:solidFill>
            <a:ln>
              <a:solidFill>
                <a:schemeClr val="accent4">
                  <a:lumMod val="75000"/>
                </a:schemeClr>
              </a:solidFill>
            </a:ln>
          </c:spPr>
          <c:invertIfNegative val="0"/>
          <c:dLbls>
            <c:dLbl>
              <c:idx val="0"/>
              <c:layout>
                <c:manualLayout>
                  <c:x val="1.8537266628396151E-2"/>
                  <c:y val="-7.1841726317079507E-3"/>
                </c:manualLayout>
              </c:layout>
              <c:spPr>
                <a:solidFill>
                  <a:srgbClr val="FFFFFF"/>
                </a:solidFill>
                <a:ln w="25400">
                  <a:noFill/>
                </a:ln>
              </c:spPr>
              <c:txPr>
                <a:bodyPr/>
                <a:lstStyle/>
                <a:p>
                  <a:pPr>
                    <a:defRPr sz="8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B5A-4B55-984F-C1407838063C}"/>
                </c:ext>
              </c:extLst>
            </c:dLbl>
            <c:dLbl>
              <c:idx val="1"/>
              <c:layout>
                <c:manualLayout>
                  <c:x val="1.1603163315140559E-2"/>
                  <c:y val="-1.7738224049046836E-2"/>
                </c:manualLayout>
              </c:layout>
              <c:spPr>
                <a:solidFill>
                  <a:srgbClr val="FFFFFF"/>
                </a:solidFill>
                <a:ln w="25400">
                  <a:noFill/>
                </a:ln>
              </c:spPr>
              <c:txPr>
                <a:bodyPr/>
                <a:lstStyle/>
                <a:p>
                  <a:pPr>
                    <a:defRPr sz="8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B5A-4B55-984F-C1407838063C}"/>
                </c:ext>
              </c:extLst>
            </c:dLbl>
            <c:dLbl>
              <c:idx val="2"/>
              <c:layout>
                <c:manualLayout>
                  <c:x val="2.1777729752754653E-2"/>
                  <c:y val="3.7544220015976265E-4"/>
                </c:manualLayout>
              </c:layout>
              <c:spPr>
                <a:solidFill>
                  <a:srgbClr val="FFFFFF"/>
                </a:solidFill>
                <a:ln w="25400">
                  <a:noFill/>
                </a:ln>
              </c:spPr>
              <c:txPr>
                <a:bodyPr/>
                <a:lstStyle/>
                <a:p>
                  <a:pPr>
                    <a:defRPr sz="8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B5A-4B55-984F-C1407838063C}"/>
                </c:ext>
              </c:extLst>
            </c:dLbl>
            <c:dLbl>
              <c:idx val="3"/>
              <c:layout>
                <c:manualLayout>
                  <c:x val="5.2739626262712806E-3"/>
                  <c:y val="-2.4816936793406663E-3"/>
                </c:manualLayout>
              </c:layout>
              <c:spPr>
                <a:solidFill>
                  <a:srgbClr val="FFFFFF"/>
                </a:solidFill>
                <a:ln w="25400">
                  <a:noFill/>
                </a:ln>
              </c:spPr>
              <c:txPr>
                <a:bodyPr/>
                <a:lstStyle/>
                <a:p>
                  <a:pPr>
                    <a:defRPr sz="8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B5A-4B55-984F-C1407838063C}"/>
                </c:ext>
              </c:extLst>
            </c:dLbl>
            <c:dLbl>
              <c:idx val="4"/>
              <c:layout>
                <c:manualLayout>
                  <c:x val="8.0906154412961305E-3"/>
                  <c:y val="-7.9014288685960133E-5"/>
                </c:manualLayout>
              </c:layout>
              <c:spPr>
                <a:solidFill>
                  <a:srgbClr val="FFFFFF"/>
                </a:solidFill>
                <a:ln w="25400">
                  <a:noFill/>
                </a:ln>
              </c:spPr>
              <c:txPr>
                <a:bodyPr/>
                <a:lstStyle/>
                <a:p>
                  <a:pPr>
                    <a:defRPr sz="8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6B5A-4B55-984F-C1407838063C}"/>
                </c:ext>
              </c:extLst>
            </c:dLbl>
            <c:dLbl>
              <c:idx val="5"/>
              <c:layout>
                <c:manualLayout>
                  <c:x val="-2.4424014462827619E-3"/>
                  <c:y val="3.3914867747818268E-3"/>
                </c:manualLayout>
              </c:layout>
              <c:spPr>
                <a:solidFill>
                  <a:srgbClr val="FFFFFF"/>
                </a:solidFill>
                <a:ln w="25400">
                  <a:noFill/>
                </a:ln>
              </c:spPr>
              <c:txPr>
                <a:bodyPr/>
                <a:lstStyle/>
                <a:p>
                  <a:pPr>
                    <a:defRPr sz="8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6B5A-4B55-984F-C1407838063C}"/>
                </c:ext>
              </c:extLst>
            </c:dLbl>
            <c:dLbl>
              <c:idx val="6"/>
              <c:layout>
                <c:manualLayout>
                  <c:x val="1.9870142897169072E-2"/>
                  <c:y val="-2.2242306416900199E-3"/>
                </c:manualLayout>
              </c:layout>
              <c:spPr>
                <a:solidFill>
                  <a:srgbClr val="FFFFFF"/>
                </a:solidFill>
                <a:ln w="25400">
                  <a:noFill/>
                </a:ln>
              </c:spPr>
              <c:txPr>
                <a:bodyPr/>
                <a:lstStyle/>
                <a:p>
                  <a:pPr>
                    <a:defRPr sz="8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6B5A-4B55-984F-C1407838063C}"/>
                </c:ext>
              </c:extLst>
            </c:dLbl>
            <c:spPr>
              <a:solidFill>
                <a:srgbClr val="FFFFFF"/>
              </a:solidFill>
              <a:ln w="25400">
                <a:noFill/>
              </a:ln>
            </c:spPr>
            <c:txPr>
              <a:bodyPr wrap="square" lIns="38100" tIns="19050" rIns="38100" bIns="19050" anchor="ctr">
                <a:spAutoFit/>
              </a:bodyPr>
              <a:lstStyle/>
              <a:p>
                <a:pPr>
                  <a:defRPr sz="8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Sheet1!$A$80:$A$86</c:f>
              <c:strCache>
                <c:ptCount val="7"/>
                <c:pt idx="0">
                  <c:v>Общо приходи и помощи</c:v>
                </c:pt>
                <c:pt idx="1">
                  <c:v>  Данъчни приходи</c:v>
                </c:pt>
                <c:pt idx="2">
                  <c:v>    Преки данъци</c:v>
                </c:pt>
                <c:pt idx="3">
                  <c:v>   Косвени данъци</c:v>
                </c:pt>
                <c:pt idx="4">
                  <c:v>      Др. данъци</c:v>
                </c:pt>
                <c:pt idx="5">
                  <c:v>   Неданъчни приходи</c:v>
                </c:pt>
                <c:pt idx="6">
                  <c:v>   Помощи</c:v>
                </c:pt>
              </c:strCache>
            </c:strRef>
          </c:cat>
          <c:val>
            <c:numRef>
              <c:f>Sheet1!$D$80:$D$86</c:f>
              <c:numCache>
                <c:formatCode>#,##0.0</c:formatCode>
                <c:ptCount val="7"/>
                <c:pt idx="0">
                  <c:v>18344.039217000001</c:v>
                </c:pt>
                <c:pt idx="1">
                  <c:v>15611.953826999999</c:v>
                </c:pt>
                <c:pt idx="2">
                  <c:v>4939.7189369999996</c:v>
                </c:pt>
                <c:pt idx="3">
                  <c:v>10454.42706</c:v>
                </c:pt>
                <c:pt idx="4">
                  <c:v>217.80783</c:v>
                </c:pt>
                <c:pt idx="5">
                  <c:v>2729.510162</c:v>
                </c:pt>
                <c:pt idx="6">
                  <c:v>2.5752280000000001</c:v>
                </c:pt>
              </c:numCache>
            </c:numRef>
          </c:val>
          <c:extLst>
            <c:ext xmlns:c16="http://schemas.microsoft.com/office/drawing/2014/chart" uri="{C3380CC4-5D6E-409C-BE32-E72D297353CC}">
              <c16:uniqueId val="{00000007-6B5A-4B55-984F-C1407838063C}"/>
            </c:ext>
          </c:extLst>
        </c:ser>
        <c:ser>
          <c:idx val="1"/>
          <c:order val="1"/>
          <c:tx>
            <c:strRef>
              <c:f>Sheet1!$B$77</c:f>
              <c:strCache>
                <c:ptCount val="1"/>
                <c:pt idx="0">
                  <c:v> Отчет юни 2022 г.</c:v>
                </c:pt>
              </c:strCache>
            </c:strRef>
          </c:tx>
          <c:spPr>
            <a:pattFill prst="pct80">
              <a:fgClr>
                <a:srgbClr xmlns:mc="http://schemas.openxmlformats.org/markup-compatibility/2006" xmlns:a14="http://schemas.microsoft.com/office/drawing/2010/main" val="C0C0C0" mc:Ignorable="a14" a14:legacySpreadsheetColorIndex="22"/>
              </a:fgClr>
              <a:bgClr>
                <a:srgbClr xmlns:mc="http://schemas.openxmlformats.org/markup-compatibility/2006" xmlns:a14="http://schemas.microsoft.com/office/drawing/2010/main" val="993366" mc:Ignorable="a14" a14:legacySpreadsheetColorIndex="25"/>
              </a:bgClr>
            </a:pattFill>
            <a:ln>
              <a:solidFill>
                <a:srgbClr val="000000"/>
              </a:solidFill>
            </a:ln>
          </c:spPr>
          <c:invertIfNegative val="0"/>
          <c:dLbls>
            <c:dLbl>
              <c:idx val="0"/>
              <c:layout>
                <c:manualLayout>
                  <c:x val="-3.3548961983669344E-3"/>
                  <c:y val="-1.7897542655621868E-2"/>
                </c:manualLayout>
              </c:layout>
              <c:numFmt formatCode="#,##0.0" sourceLinked="0"/>
              <c:spPr>
                <a:solidFill>
                  <a:srgbClr val="FFFFFF"/>
                </a:solidFill>
                <a:ln w="25400">
                  <a:noFill/>
                </a:ln>
              </c:spPr>
              <c:txPr>
                <a:bodyPr vertOverflow="overflow" horzOverflow="overflow" wrap="square">
                  <a:spAutoFit/>
                </a:bodyPr>
                <a:lstStyle/>
                <a:p>
                  <a:pPr>
                    <a:defRPr sz="8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ext>
                <c:ext xmlns:c16="http://schemas.microsoft.com/office/drawing/2014/chart" uri="{C3380CC4-5D6E-409C-BE32-E72D297353CC}">
                  <c16:uniqueId val="{00000008-6B5A-4B55-984F-C1407838063C}"/>
                </c:ext>
              </c:extLst>
            </c:dLbl>
            <c:dLbl>
              <c:idx val="1"/>
              <c:layout>
                <c:manualLayout>
                  <c:x val="-6.3754680284115739E-2"/>
                  <c:y val="-4.7892334162714684E-2"/>
                </c:manualLayout>
              </c:layout>
              <c:numFmt formatCode="#,##0.0" sourceLinked="0"/>
              <c:spPr>
                <a:solidFill>
                  <a:srgbClr val="FFFFFF"/>
                </a:solidFill>
                <a:ln w="25400">
                  <a:noFill/>
                </a:ln>
              </c:spPr>
              <c:txPr>
                <a:bodyPr vertOverflow="overflow" horzOverflow="overflow" wrap="square">
                  <a:spAutoFit/>
                </a:bodyPr>
                <a:lstStyle/>
                <a:p>
                  <a:pPr>
                    <a:defRPr sz="8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ext>
                <c:ext xmlns:c16="http://schemas.microsoft.com/office/drawing/2014/chart" uri="{C3380CC4-5D6E-409C-BE32-E72D297353CC}">
                  <c16:uniqueId val="{00000009-6B5A-4B55-984F-C1407838063C}"/>
                </c:ext>
              </c:extLst>
            </c:dLbl>
            <c:dLbl>
              <c:idx val="2"/>
              <c:layout>
                <c:manualLayout>
                  <c:x val="1.5030030930573287E-3"/>
                  <c:y val="-2.0447930390024203E-2"/>
                </c:manualLayout>
              </c:layout>
              <c:numFmt formatCode="#,##0.0" sourceLinked="0"/>
              <c:spPr>
                <a:solidFill>
                  <a:srgbClr val="FFFFFF"/>
                </a:solidFill>
                <a:ln w="25400">
                  <a:noFill/>
                </a:ln>
              </c:spPr>
              <c:txPr>
                <a:bodyPr vertOverflow="overflow" horzOverflow="overflow" wrap="square">
                  <a:spAutoFit/>
                </a:bodyPr>
                <a:lstStyle/>
                <a:p>
                  <a:pPr>
                    <a:defRPr sz="8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ext>
                <c:ext xmlns:c16="http://schemas.microsoft.com/office/drawing/2014/chart" uri="{C3380CC4-5D6E-409C-BE32-E72D297353CC}">
                  <c16:uniqueId val="{0000000A-6B5A-4B55-984F-C1407838063C}"/>
                </c:ext>
              </c:extLst>
            </c:dLbl>
            <c:dLbl>
              <c:idx val="3"/>
              <c:layout>
                <c:manualLayout>
                  <c:x val="4.81591596480255E-3"/>
                  <c:y val="-2.9338489150048209E-2"/>
                </c:manualLayout>
              </c:layout>
              <c:numFmt formatCode="#,##0.0" sourceLinked="0"/>
              <c:spPr>
                <a:solidFill>
                  <a:srgbClr val="FFFFFF"/>
                </a:solidFill>
                <a:ln w="25400">
                  <a:noFill/>
                </a:ln>
              </c:spPr>
              <c:txPr>
                <a:bodyPr vertOverflow="overflow" horzOverflow="overflow" wrap="square">
                  <a:spAutoFit/>
                </a:bodyPr>
                <a:lstStyle/>
                <a:p>
                  <a:pPr>
                    <a:defRPr sz="8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ext>
                <c:ext xmlns:c16="http://schemas.microsoft.com/office/drawing/2014/chart" uri="{C3380CC4-5D6E-409C-BE32-E72D297353CC}">
                  <c16:uniqueId val="{0000000B-6B5A-4B55-984F-C1407838063C}"/>
                </c:ext>
              </c:extLst>
            </c:dLbl>
            <c:dLbl>
              <c:idx val="4"/>
              <c:layout>
                <c:manualLayout>
                  <c:x val="1.0068287165954093E-2"/>
                  <c:y val="-1.8085886919265211E-2"/>
                </c:manualLayout>
              </c:layout>
              <c:numFmt formatCode="#,##0.0" sourceLinked="0"/>
              <c:spPr>
                <a:solidFill>
                  <a:srgbClr val="FFFFFF"/>
                </a:solidFill>
                <a:ln w="25400">
                  <a:noFill/>
                </a:ln>
              </c:spPr>
              <c:txPr>
                <a:bodyPr vertOverflow="overflow" horzOverflow="overflow" wrap="square">
                  <a:spAutoFit/>
                </a:bodyPr>
                <a:lstStyle/>
                <a:p>
                  <a:pPr>
                    <a:defRPr sz="8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ext>
                <c:ext xmlns:c16="http://schemas.microsoft.com/office/drawing/2014/chart" uri="{C3380CC4-5D6E-409C-BE32-E72D297353CC}">
                  <c16:uniqueId val="{0000000C-6B5A-4B55-984F-C1407838063C}"/>
                </c:ext>
              </c:extLst>
            </c:dLbl>
            <c:dLbl>
              <c:idx val="5"/>
              <c:layout>
                <c:manualLayout>
                  <c:x val="3.8943391053267019E-3"/>
                  <c:y val="-2.5949582433672343E-2"/>
                </c:manualLayout>
              </c:layout>
              <c:numFmt formatCode="#,##0.0" sourceLinked="0"/>
              <c:spPr>
                <a:solidFill>
                  <a:srgbClr val="FFFFFF"/>
                </a:solidFill>
                <a:ln w="25400">
                  <a:noFill/>
                </a:ln>
              </c:spPr>
              <c:txPr>
                <a:bodyPr vertOverflow="overflow" horzOverflow="overflow" wrap="square">
                  <a:spAutoFit/>
                </a:bodyPr>
                <a:lstStyle/>
                <a:p>
                  <a:pPr>
                    <a:defRPr sz="8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ext>
                <c:ext xmlns:c16="http://schemas.microsoft.com/office/drawing/2014/chart" uri="{C3380CC4-5D6E-409C-BE32-E72D297353CC}">
                  <c16:uniqueId val="{0000000D-6B5A-4B55-984F-C1407838063C}"/>
                </c:ext>
              </c:extLst>
            </c:dLbl>
            <c:dLbl>
              <c:idx val="6"/>
              <c:layout>
                <c:manualLayout>
                  <c:x val="1.0226966527993408E-2"/>
                  <c:y val="-2.0995468052042627E-2"/>
                </c:manualLayout>
              </c:layout>
              <c:numFmt formatCode="#,##0.0" sourceLinked="0"/>
              <c:spPr>
                <a:solidFill>
                  <a:srgbClr val="FFFFFF"/>
                </a:solidFill>
                <a:ln w="25400">
                  <a:noFill/>
                </a:ln>
              </c:spPr>
              <c:txPr>
                <a:bodyPr vertOverflow="overflow" horzOverflow="overflow" wrap="square">
                  <a:spAutoFit/>
                </a:bodyPr>
                <a:lstStyle/>
                <a:p>
                  <a:pPr>
                    <a:defRPr sz="8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ext>
                <c:ext xmlns:c16="http://schemas.microsoft.com/office/drawing/2014/chart" uri="{C3380CC4-5D6E-409C-BE32-E72D297353CC}">
                  <c16:uniqueId val="{0000000E-6B5A-4B55-984F-C1407838063C}"/>
                </c:ext>
              </c:extLst>
            </c:dLbl>
            <c:numFmt formatCode="#,##0.0" sourceLinked="0"/>
            <c:spPr>
              <a:solidFill>
                <a:srgbClr val="FFFFFF"/>
              </a:solidFill>
              <a:ln w="25400">
                <a:noFill/>
              </a:ln>
            </c:spPr>
            <c:txPr>
              <a:bodyPr vertOverflow="overflow" horzOverflow="overflow" wrap="square" lIns="38100" tIns="19050" rIns="38100" bIns="19050" anchor="ctr">
                <a:spAutoFit/>
              </a:bodyPr>
              <a:lstStyle/>
              <a:p>
                <a:pPr>
                  <a:defRPr sz="8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Sheet1!$A$80:$A$86</c:f>
              <c:strCache>
                <c:ptCount val="7"/>
                <c:pt idx="0">
                  <c:v>Общо приходи и помощи</c:v>
                </c:pt>
                <c:pt idx="1">
                  <c:v>  Данъчни приходи</c:v>
                </c:pt>
                <c:pt idx="2">
                  <c:v>    Преки данъци</c:v>
                </c:pt>
                <c:pt idx="3">
                  <c:v>   Косвени данъци</c:v>
                </c:pt>
                <c:pt idx="4">
                  <c:v>      Др. данъци</c:v>
                </c:pt>
                <c:pt idx="5">
                  <c:v>   Неданъчни приходи</c:v>
                </c:pt>
                <c:pt idx="6">
                  <c:v>   Помощи</c:v>
                </c:pt>
              </c:strCache>
            </c:strRef>
          </c:cat>
          <c:val>
            <c:numRef>
              <c:f>Sheet1!$B$80:$B$86</c:f>
              <c:numCache>
                <c:formatCode>#,##0.0</c:formatCode>
                <c:ptCount val="7"/>
                <c:pt idx="0">
                  <c:v>16531.128854000002</c:v>
                </c:pt>
                <c:pt idx="1">
                  <c:v>14962.018936000002</c:v>
                </c:pt>
                <c:pt idx="2">
                  <c:v>4304.8394850000004</c:v>
                </c:pt>
                <c:pt idx="3">
                  <c:v>10549.856349000002</c:v>
                </c:pt>
                <c:pt idx="4">
                  <c:v>107.32310199999998</c:v>
                </c:pt>
                <c:pt idx="5">
                  <c:v>1566.838217</c:v>
                </c:pt>
                <c:pt idx="6">
                  <c:v>2.2717010000000002</c:v>
                </c:pt>
              </c:numCache>
            </c:numRef>
          </c:val>
          <c:extLst>
            <c:ext xmlns:c16="http://schemas.microsoft.com/office/drawing/2014/chart" uri="{C3380CC4-5D6E-409C-BE32-E72D297353CC}">
              <c16:uniqueId val="{0000000F-6B5A-4B55-984F-C1407838063C}"/>
            </c:ext>
          </c:extLst>
        </c:ser>
        <c:dLbls>
          <c:showLegendKey val="0"/>
          <c:showVal val="0"/>
          <c:showCatName val="0"/>
          <c:showSerName val="0"/>
          <c:showPercent val="0"/>
          <c:showBubbleSize val="0"/>
        </c:dLbls>
        <c:gapWidth val="150"/>
        <c:gapDepth val="273"/>
        <c:shape val="cylinder"/>
        <c:axId val="398557504"/>
        <c:axId val="1"/>
        <c:axId val="0"/>
      </c:bar3DChart>
      <c:catAx>
        <c:axId val="398557504"/>
        <c:scaling>
          <c:orientation val="minMax"/>
        </c:scaling>
        <c:delete val="0"/>
        <c:axPos val="l"/>
        <c:numFmt formatCode="General" sourceLinked="1"/>
        <c:majorTickMark val="out"/>
        <c:minorTickMark val="none"/>
        <c:tickLblPos val="low"/>
        <c:spPr>
          <a:ln w="9525">
            <a:noFill/>
          </a:ln>
        </c:spPr>
        <c:txPr>
          <a:bodyPr rot="0" vert="horz"/>
          <a:lstStyle/>
          <a:p>
            <a:pPr>
              <a:defRPr sz="900" b="0" i="0" u="none" strike="noStrike" baseline="0">
                <a:solidFill>
                  <a:srgbClr val="000000"/>
                </a:solidFill>
                <a:latin typeface="Times New Roman"/>
                <a:ea typeface="Times New Roman"/>
                <a:cs typeface="Times New Roman"/>
              </a:defRPr>
            </a:pPr>
            <a:endParaRPr lang="bg-BG"/>
          </a:p>
        </c:txPr>
        <c:crossAx val="1"/>
        <c:crosses val="autoZero"/>
        <c:auto val="1"/>
        <c:lblAlgn val="ctr"/>
        <c:lblOffset val="100"/>
        <c:noMultiLvlLbl val="0"/>
      </c:catAx>
      <c:valAx>
        <c:axId val="1"/>
        <c:scaling>
          <c:orientation val="minMax"/>
        </c:scaling>
        <c:delete val="0"/>
        <c:axPos val="b"/>
        <c:majorGridlines>
          <c:spPr>
            <a:ln w="3175">
              <a:solidFill>
                <a:srgbClr val="000000"/>
              </a:solidFill>
              <a:prstDash val="solid"/>
            </a:ln>
          </c:spPr>
        </c:majorGridlines>
        <c:title>
          <c:tx>
            <c:rich>
              <a:bodyPr/>
              <a:lstStyle/>
              <a:p>
                <a:pPr>
                  <a:defRPr sz="900" b="1" i="0" u="none" strike="noStrike" baseline="0">
                    <a:solidFill>
                      <a:srgbClr val="000000"/>
                    </a:solidFill>
                    <a:latin typeface="Times New Roman" panose="02020603050405020304" pitchFamily="18" charset="0"/>
                    <a:ea typeface="Arial"/>
                    <a:cs typeface="Times New Roman" panose="02020603050405020304" pitchFamily="18" charset="0"/>
                  </a:defRPr>
                </a:pPr>
                <a:r>
                  <a:rPr lang="bg-BG" sz="900" b="1">
                    <a:latin typeface="Times New Roman" panose="02020603050405020304" pitchFamily="18" charset="0"/>
                    <a:cs typeface="Times New Roman" panose="02020603050405020304" pitchFamily="18" charset="0"/>
                  </a:rPr>
                  <a:t>млн. лв.</a:t>
                </a:r>
              </a:p>
            </c:rich>
          </c:tx>
          <c:layout>
            <c:manualLayout>
              <c:xMode val="edge"/>
              <c:yMode val="edge"/>
              <c:x val="3.6992985399166747E-2"/>
              <c:y val="0.90858027139671127"/>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bg-BG"/>
          </a:p>
        </c:txPr>
        <c:crossAx val="398557504"/>
        <c:crosses val="autoZero"/>
        <c:crossBetween val="between"/>
      </c:valAx>
      <c:spPr>
        <a:noFill/>
        <a:ln w="25400">
          <a:noFill/>
        </a:ln>
      </c:spPr>
    </c:plotArea>
    <c:legend>
      <c:legendPos val="r"/>
      <c:layout>
        <c:manualLayout>
          <c:xMode val="edge"/>
          <c:yMode val="edge"/>
          <c:x val="0.77138025549191358"/>
          <c:y val="0.88279306670824575"/>
          <c:w val="0.19720810026515001"/>
          <c:h val="8.9775473610353096E-2"/>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bg-B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5069391409685821E-2"/>
          <c:y val="3.8309849426716412E-2"/>
          <c:w val="0.90305106959238579"/>
          <c:h val="0.74626404458063433"/>
        </c:manualLayout>
      </c:layout>
      <c:barChart>
        <c:barDir val="col"/>
        <c:grouping val="clustered"/>
        <c:varyColors val="0"/>
        <c:ser>
          <c:idx val="0"/>
          <c:order val="0"/>
          <c:tx>
            <c:strRef>
              <c:f>Sheet1!$B$36</c:f>
              <c:strCache>
                <c:ptCount val="1"/>
                <c:pt idx="0">
                  <c:v>към юни 2022 г.</c:v>
                </c:pt>
              </c:strCache>
            </c:strRef>
          </c:tx>
          <c:spPr>
            <a:pattFill prst="pct5">
              <a:fgClr>
                <a:srgbClr val="FFFFFF"/>
              </a:fgClr>
              <a:bgClr>
                <a:srgbClr val="000000"/>
              </a:bgClr>
            </a:pattFill>
            <a:ln w="12683">
              <a:solidFill>
                <a:srgbClr val="000000"/>
              </a:solidFill>
              <a:prstDash val="solid"/>
            </a:ln>
          </c:spPr>
          <c:invertIfNegative val="0"/>
          <c:dLbls>
            <c:dLbl>
              <c:idx val="2"/>
              <c:layout>
                <c:manualLayout>
                  <c:x val="0"/>
                  <c:y val="-4.3402777777778578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A34-493F-9D13-B734294803FF}"/>
                </c:ext>
              </c:extLst>
            </c:dLbl>
            <c:dLbl>
              <c:idx val="3"/>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A34-493F-9D13-B734294803FF}"/>
                </c:ext>
              </c:extLst>
            </c:dLbl>
            <c:dLbl>
              <c:idx val="5"/>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A34-493F-9D13-B734294803FF}"/>
                </c:ext>
              </c:extLst>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Sheet1!$A$38:$A$43</c:f>
              <c:strCache>
                <c:ptCount val="6"/>
                <c:pt idx="0">
                  <c:v>Текущи нелихвени разходи</c:v>
                </c:pt>
                <c:pt idx="1">
                  <c:v>Предост. тек. и кап. трансф.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Sheet1!$B$38:$B$43</c:f>
              <c:numCache>
                <c:formatCode>##,#0\.0</c:formatCode>
                <c:ptCount val="6"/>
                <c:pt idx="0">
                  <c:v>6492.6727889999993</c:v>
                </c:pt>
                <c:pt idx="1">
                  <c:v>2.4252899999999999</c:v>
                </c:pt>
                <c:pt idx="2">
                  <c:v>347.20605500000005</c:v>
                </c:pt>
                <c:pt idx="3">
                  <c:v>368.53015099999999</c:v>
                </c:pt>
                <c:pt idx="4">
                  <c:v>8858.844615</c:v>
                </c:pt>
                <c:pt idx="5">
                  <c:v>812.7794449999999</c:v>
                </c:pt>
              </c:numCache>
            </c:numRef>
          </c:val>
          <c:extLst>
            <c:ext xmlns:c16="http://schemas.microsoft.com/office/drawing/2014/chart" uri="{C3380CC4-5D6E-409C-BE32-E72D297353CC}">
              <c16:uniqueId val="{00000003-2A34-493F-9D13-B734294803FF}"/>
            </c:ext>
          </c:extLst>
        </c:ser>
        <c:ser>
          <c:idx val="1"/>
          <c:order val="1"/>
          <c:tx>
            <c:strRef>
              <c:f>Sheet1!$C$36</c:f>
              <c:strCache>
                <c:ptCount val="1"/>
                <c:pt idx="0">
                  <c:v>към юни  2023 г.</c:v>
                </c:pt>
              </c:strCache>
            </c:strRef>
          </c:tx>
          <c:spPr>
            <a:pattFill prst="smConfetti">
              <a:fgClr>
                <a:srgbClr val="333333"/>
              </a:fgClr>
              <a:bgClr>
                <a:srgbClr val="FFFFFF"/>
              </a:bgClr>
            </a:pattFill>
            <a:ln w="12683">
              <a:solidFill>
                <a:srgbClr val="000000"/>
              </a:solidFill>
              <a:prstDash val="solid"/>
            </a:ln>
          </c:spPr>
          <c:invertIfNegative val="0"/>
          <c:dLbls>
            <c:dLbl>
              <c:idx val="0"/>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A34-493F-9D13-B734294803FF}"/>
                </c:ext>
              </c:extLst>
            </c:dLbl>
            <c:dLbl>
              <c:idx val="1"/>
              <c:layout>
                <c:manualLayout>
                  <c:x val="-1.3777787060437307E-3"/>
                  <c:y val="-2.2458399596602201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2A34-493F-9D13-B734294803FF}"/>
                </c:ext>
              </c:extLst>
            </c:dLbl>
            <c:dLbl>
              <c:idx val="2"/>
              <c:layout>
                <c:manualLayout>
                  <c:x val="2.2504468494836203E-3"/>
                  <c:y val="-1.160118657042869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2A34-493F-9D13-B734294803FF}"/>
                </c:ext>
              </c:extLst>
            </c:dLbl>
            <c:dLbl>
              <c:idx val="3"/>
              <c:layout>
                <c:manualLayout>
                  <c:x val="4.7141342909059365E-3"/>
                  <c:y val="-1.2333300109638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2A34-493F-9D13-B734294803FF}"/>
                </c:ext>
              </c:extLst>
            </c:dLbl>
            <c:dLbl>
              <c:idx val="4"/>
              <c:layout>
                <c:manualLayout>
                  <c:x val="2.8449113763692161E-4"/>
                  <c:y val="0.12792063101487314"/>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2A34-493F-9D13-B734294803FF}"/>
                </c:ext>
              </c:extLst>
            </c:dLbl>
            <c:dLbl>
              <c:idx val="5"/>
              <c:layout>
                <c:manualLayout>
                  <c:x val="1.9210939978656521E-3"/>
                  <c:y val="5.6948735838400722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2A34-493F-9D13-B734294803FF}"/>
                </c:ext>
              </c:extLst>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Sheet1!$A$38:$A$43</c:f>
              <c:strCache>
                <c:ptCount val="6"/>
                <c:pt idx="0">
                  <c:v>Текущи нелихвени разходи</c:v>
                </c:pt>
                <c:pt idx="1">
                  <c:v>Предост. тек. и кап. трансф.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Sheet1!$C$38:$C$43</c:f>
              <c:numCache>
                <c:formatCode>##,#0\.0</c:formatCode>
                <c:ptCount val="6"/>
                <c:pt idx="0">
                  <c:v>6767.6840710000006</c:v>
                </c:pt>
                <c:pt idx="1">
                  <c:v>1.2733049999999999</c:v>
                </c:pt>
                <c:pt idx="2">
                  <c:v>578.97406299999989</c:v>
                </c:pt>
                <c:pt idx="3">
                  <c:v>326.90530000000001</c:v>
                </c:pt>
                <c:pt idx="4">
                  <c:v>10677.354331</c:v>
                </c:pt>
                <c:pt idx="5">
                  <c:v>847.63239399999998</c:v>
                </c:pt>
              </c:numCache>
            </c:numRef>
          </c:val>
          <c:extLst>
            <c:ext xmlns:c16="http://schemas.microsoft.com/office/drawing/2014/chart" uri="{C3380CC4-5D6E-409C-BE32-E72D297353CC}">
              <c16:uniqueId val="{0000000A-2A34-493F-9D13-B734294803FF}"/>
            </c:ext>
          </c:extLst>
        </c:ser>
        <c:dLbls>
          <c:showLegendKey val="0"/>
          <c:showVal val="0"/>
          <c:showCatName val="0"/>
          <c:showSerName val="0"/>
          <c:showPercent val="0"/>
          <c:showBubbleSize val="0"/>
        </c:dLbls>
        <c:gapWidth val="150"/>
        <c:axId val="375455744"/>
        <c:axId val="375457280"/>
      </c:barChart>
      <c:catAx>
        <c:axId val="375455744"/>
        <c:scaling>
          <c:orientation val="minMax"/>
        </c:scaling>
        <c:delete val="0"/>
        <c:axPos val="b"/>
        <c:numFmt formatCode="General" sourceLinked="1"/>
        <c:majorTickMark val="out"/>
        <c:minorTickMark val="none"/>
        <c:tickLblPos val="nextTo"/>
        <c:spPr>
          <a:ln w="9512">
            <a:noFill/>
          </a:ln>
        </c:spPr>
        <c:txPr>
          <a:bodyPr rot="0" vert="horz"/>
          <a:lstStyle/>
          <a:p>
            <a:pPr>
              <a:defRPr sz="970" b="1" i="0" u="none" strike="noStrike" baseline="2000">
                <a:solidFill>
                  <a:srgbClr val="000000"/>
                </a:solidFill>
                <a:latin typeface="Times New Roman"/>
                <a:ea typeface="Times New Roman"/>
                <a:cs typeface="Times New Roman"/>
              </a:defRPr>
            </a:pPr>
            <a:endParaRPr lang="bg-BG"/>
          </a:p>
        </c:txPr>
        <c:crossAx val="375457280"/>
        <c:crosses val="autoZero"/>
        <c:auto val="1"/>
        <c:lblAlgn val="ctr"/>
        <c:lblOffset val="100"/>
        <c:tickLblSkip val="1"/>
        <c:tickMarkSkip val="1"/>
        <c:noMultiLvlLbl val="0"/>
      </c:catAx>
      <c:valAx>
        <c:axId val="375457280"/>
        <c:scaling>
          <c:orientation val="minMax"/>
        </c:scaling>
        <c:delete val="0"/>
        <c:axPos val="l"/>
        <c:majorGridlines>
          <c:spPr>
            <a:ln w="3171">
              <a:solidFill>
                <a:srgbClr val="000000"/>
              </a:solidFill>
              <a:prstDash val="solid"/>
            </a:ln>
          </c:spPr>
        </c:majorGridlines>
        <c:title>
          <c:tx>
            <c:rich>
              <a:bodyPr rot="0" vert="horz"/>
              <a:lstStyle/>
              <a:p>
                <a:pPr algn="ctr">
                  <a:defRPr sz="899" b="0" i="0" u="none" strike="noStrike" baseline="0">
                    <a:solidFill>
                      <a:srgbClr val="000000"/>
                    </a:solidFill>
                    <a:latin typeface="Times New Roman"/>
                    <a:ea typeface="Times New Roman"/>
                    <a:cs typeface="Times New Roman"/>
                  </a:defRPr>
                </a:pPr>
                <a:r>
                  <a:rPr lang="bg-BG"/>
                  <a:t>(млн. лв.)</a:t>
                </a:r>
              </a:p>
            </c:rich>
          </c:tx>
          <c:layout>
            <c:manualLayout>
              <c:xMode val="edge"/>
              <c:yMode val="edge"/>
              <c:x val="9.3198691529022576E-4"/>
              <c:y val="0.93341453652604278"/>
            </c:manualLayout>
          </c:layout>
          <c:overlay val="0"/>
          <c:spPr>
            <a:noFill/>
            <a:ln w="25367">
              <a:noFill/>
            </a:ln>
          </c:spPr>
        </c:title>
        <c:numFmt formatCode="#,##0" sourceLinked="0"/>
        <c:majorTickMark val="out"/>
        <c:minorTickMark val="none"/>
        <c:tickLblPos val="nextTo"/>
        <c:spPr>
          <a:ln w="3171">
            <a:solidFill>
              <a:srgbClr val="000000"/>
            </a:solidFill>
            <a:prstDash val="solid"/>
          </a:ln>
        </c:spPr>
        <c:txPr>
          <a:bodyPr rot="0" vert="horz"/>
          <a:lstStyle/>
          <a:p>
            <a:pPr>
              <a:defRPr sz="899" b="0" i="0" u="none" strike="noStrike" baseline="0">
                <a:solidFill>
                  <a:srgbClr val="000000"/>
                </a:solidFill>
                <a:latin typeface="Times New Roman"/>
                <a:ea typeface="Times New Roman"/>
                <a:cs typeface="Times New Roman"/>
              </a:defRPr>
            </a:pPr>
            <a:endParaRPr lang="bg-BG"/>
          </a:p>
        </c:txPr>
        <c:crossAx val="375455744"/>
        <c:crosses val="autoZero"/>
        <c:crossBetween val="between"/>
      </c:valAx>
      <c:spPr>
        <a:solidFill>
          <a:srgbClr val="FFFFFF"/>
        </a:solidFill>
        <a:ln w="25367">
          <a:solidFill>
            <a:sysClr val="window" lastClr="FFFFFF">
              <a:lumMod val="85000"/>
            </a:sysClr>
          </a:solidFill>
          <a:prstDash val="solid"/>
        </a:ln>
      </c:spPr>
    </c:plotArea>
    <c:legend>
      <c:legendPos val="r"/>
      <c:legendEntry>
        <c:idx val="0"/>
        <c:txPr>
          <a:bodyPr/>
          <a:lstStyle/>
          <a:p>
            <a:pPr>
              <a:defRPr sz="780" b="1" i="0" u="none" strike="noStrike" baseline="0">
                <a:solidFill>
                  <a:srgbClr val="000000"/>
                </a:solidFill>
                <a:latin typeface="Times New Roman"/>
                <a:ea typeface="Times New Roman"/>
                <a:cs typeface="Times New Roman"/>
              </a:defRPr>
            </a:pPr>
            <a:endParaRPr lang="bg-BG"/>
          </a:p>
        </c:txPr>
      </c:legendEntry>
      <c:legendEntry>
        <c:idx val="1"/>
        <c:txPr>
          <a:bodyPr/>
          <a:lstStyle/>
          <a:p>
            <a:pPr>
              <a:defRPr sz="780" b="1" i="0" u="none" strike="noStrike" baseline="0">
                <a:solidFill>
                  <a:srgbClr val="000000"/>
                </a:solidFill>
                <a:latin typeface="Times New Roman"/>
                <a:ea typeface="Times New Roman"/>
                <a:cs typeface="Times New Roman"/>
              </a:defRPr>
            </a:pPr>
            <a:endParaRPr lang="bg-BG"/>
          </a:p>
        </c:txPr>
      </c:legendEntry>
      <c:layout>
        <c:manualLayout>
          <c:xMode val="edge"/>
          <c:yMode val="edge"/>
          <c:x val="0.122363318643525"/>
          <c:y val="0.93544690634600924"/>
          <c:w val="0.40878464462499231"/>
          <c:h val="6.3980548943010015E-2"/>
        </c:manualLayout>
      </c:layout>
      <c:overlay val="0"/>
      <c:spPr>
        <a:solidFill>
          <a:srgbClr val="FFFFFF"/>
        </a:solidFill>
        <a:ln w="3171">
          <a:solidFill>
            <a:srgbClr val="000000"/>
          </a:solidFill>
          <a:prstDash val="solid"/>
        </a:ln>
      </c:spPr>
      <c:txPr>
        <a:bodyPr/>
        <a:lstStyle/>
        <a:p>
          <a:pPr>
            <a:defRPr sz="780" b="1"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1">
      <a:solidFill>
        <a:srgbClr val="000000"/>
      </a:solidFill>
      <a:prstDash val="solid"/>
    </a:ln>
  </c:spPr>
  <c:txPr>
    <a:bodyPr/>
    <a:lstStyle/>
    <a:p>
      <a:pPr>
        <a:defRPr sz="1124" b="0" i="0" u="none" strike="noStrike" baseline="0">
          <a:solidFill>
            <a:srgbClr val="000000"/>
          </a:solidFill>
          <a:latin typeface="Arial"/>
          <a:ea typeface="Arial"/>
          <a:cs typeface="Arial"/>
        </a:defRPr>
      </a:pPr>
      <a:endParaRPr lang="bg-BG"/>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0.50767</cdr:x>
      <cdr:y>0.50124</cdr:y>
    </cdr:from>
    <cdr:to>
      <cdr:x>0.52046</cdr:x>
      <cdr:y>0.56116</cdr:y>
    </cdr:to>
    <cdr:sp macro="" textlink="">
      <cdr:nvSpPr>
        <cdr:cNvPr id="3073" name="Text Box 1"/>
        <cdr:cNvSpPr txBox="1">
          <a:spLocks xmlns:a="http://schemas.openxmlformats.org/drawingml/2006/main" noChangeArrowheads="1"/>
        </cdr:cNvSpPr>
      </cdr:nvSpPr>
      <cdr:spPr bwMode="auto">
        <a:xfrm xmlns:a="http://schemas.openxmlformats.org/drawingml/2006/main">
          <a:off x="3536779" y="1408614"/>
          <a:ext cx="94821"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bg-BG" sz="1125" b="0" i="0" u="none" strike="noStrike" baseline="0">
              <a:solidFill>
                <a:srgbClr val="000000"/>
              </a:solidFill>
              <a:latin typeface="Arial"/>
              <a:cs typeface="Arial"/>
            </a:rPr>
            <a:t> </a:t>
          </a:r>
        </a:p>
      </cdr:txBody>
    </cdr:sp>
  </cdr:relSizeAnchor>
  <cdr:relSizeAnchor xmlns:cdr="http://schemas.openxmlformats.org/drawingml/2006/chartDrawing">
    <cdr:from>
      <cdr:x>0.50767</cdr:x>
      <cdr:y>0.50124</cdr:y>
    </cdr:from>
    <cdr:to>
      <cdr:x>0.61477</cdr:x>
      <cdr:y>0.56116</cdr:y>
    </cdr:to>
    <cdr:sp macro="" textlink="">
      <cdr:nvSpPr>
        <cdr:cNvPr id="3074" name="Text Box 2"/>
        <cdr:cNvSpPr txBox="1">
          <a:spLocks xmlns:a="http://schemas.openxmlformats.org/drawingml/2006/main" noChangeArrowheads="1"/>
        </cdr:cNvSpPr>
      </cdr:nvSpPr>
      <cdr:spPr bwMode="auto">
        <a:xfrm xmlns:a="http://schemas.openxmlformats.org/drawingml/2006/main">
          <a:off x="3536779" y="1408614"/>
          <a:ext cx="751674"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E3E24-47C2-4F76-A10D-52FFD948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3470</TotalTime>
  <Pages>30</Pages>
  <Words>15213</Words>
  <Characters>86716</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М И Н И С Т Е Р С Т В О   Н А   Ф И Н А Н С И Т Е</vt:lpstr>
    </vt:vector>
  </TitlesOfParts>
  <Company>MoF</Company>
  <LinksUpToDate>false</LinksUpToDate>
  <CharactersWithSpaces>101726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Е Р С Т В О   Н А   Ф И Н А Н С И Т Е</dc:title>
  <dc:creator>Любомир Малчев</dc:creator>
  <cp:lastModifiedBy>КБПА ВД</cp:lastModifiedBy>
  <cp:revision>1102</cp:revision>
  <cp:lastPrinted>2023-08-03T13:36:00Z</cp:lastPrinted>
  <dcterms:created xsi:type="dcterms:W3CDTF">2022-04-29T13:09:00Z</dcterms:created>
  <dcterms:modified xsi:type="dcterms:W3CDTF">2023-08-07T07:52:00Z</dcterms:modified>
</cp:coreProperties>
</file>