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05AF7" w14:textId="77777777" w:rsidR="00063E15" w:rsidRPr="00D56089" w:rsidRDefault="00063E15" w:rsidP="008314D1">
      <w:pPr>
        <w:pStyle w:val="Title"/>
        <w:pBdr>
          <w:bottom w:val="double" w:sz="6" w:space="0" w:color="auto"/>
        </w:pBdr>
      </w:pPr>
      <w:r w:rsidRPr="00D56089">
        <w:t>М И Н И С Т Е Р С Т В О   Н А   Ф И Н А Н С И Т Е</w:t>
      </w:r>
    </w:p>
    <w:p w14:paraId="706EAA8B" w14:textId="77777777" w:rsidR="005F7245" w:rsidRPr="00D56089" w:rsidRDefault="005F7245" w:rsidP="00063E15">
      <w:pPr>
        <w:rPr>
          <w:color w:val="4F81BD" w:themeColor="accent1"/>
          <w:sz w:val="16"/>
          <w:szCs w:val="16"/>
        </w:rPr>
      </w:pPr>
    </w:p>
    <w:p w14:paraId="60917727" w14:textId="77777777" w:rsidR="0019151C" w:rsidRPr="00D56089" w:rsidRDefault="0019151C" w:rsidP="0019151C">
      <w:pPr>
        <w:rPr>
          <w:color w:val="4F81BD" w:themeColor="accent1"/>
        </w:rPr>
      </w:pPr>
    </w:p>
    <w:p w14:paraId="4794F94C" w14:textId="77777777" w:rsidR="00E10331" w:rsidRPr="00575C28" w:rsidRDefault="00E10331" w:rsidP="0019151C"/>
    <w:p w14:paraId="392CA231" w14:textId="77777777" w:rsidR="00E9260C" w:rsidRPr="00575C28" w:rsidRDefault="00E9260C" w:rsidP="009B536C">
      <w:pPr>
        <w:pStyle w:val="Heading1"/>
        <w:rPr>
          <w:sz w:val="24"/>
        </w:rPr>
      </w:pPr>
      <w:r w:rsidRPr="00575C28">
        <w:rPr>
          <w:sz w:val="24"/>
        </w:rPr>
        <w:t>ИНФОРМАЦИЯ</w:t>
      </w:r>
    </w:p>
    <w:p w14:paraId="0056F384" w14:textId="77777777" w:rsidR="00E9260C" w:rsidRPr="00575C28" w:rsidRDefault="00E9260C" w:rsidP="009B536C">
      <w:pPr>
        <w:jc w:val="center"/>
        <w:rPr>
          <w:b/>
          <w:bCs/>
        </w:rPr>
      </w:pPr>
      <w:r w:rsidRPr="00575C28">
        <w:rPr>
          <w:b/>
          <w:bCs/>
        </w:rPr>
        <w:t xml:space="preserve">ЗА </w:t>
      </w:r>
      <w:r w:rsidR="004E7BF8" w:rsidRPr="00575C28">
        <w:rPr>
          <w:b/>
          <w:bCs/>
        </w:rPr>
        <w:t xml:space="preserve">КАСОВОТО </w:t>
      </w:r>
      <w:r w:rsidRPr="00575C28">
        <w:rPr>
          <w:b/>
          <w:bCs/>
        </w:rPr>
        <w:t xml:space="preserve">ИЗПЪЛНЕНИЕ НА </w:t>
      </w:r>
      <w:r w:rsidR="004E7BF8" w:rsidRPr="00575C28">
        <w:rPr>
          <w:b/>
          <w:bCs/>
        </w:rPr>
        <w:t>ДЪРЖАВНИЯ</w:t>
      </w:r>
      <w:r w:rsidRPr="00575C28">
        <w:rPr>
          <w:b/>
          <w:bCs/>
        </w:rPr>
        <w:t xml:space="preserve"> БЮДЖЕТ</w:t>
      </w:r>
      <w:r w:rsidR="004E7BF8" w:rsidRPr="00575C28">
        <w:rPr>
          <w:b/>
          <w:bCs/>
        </w:rPr>
        <w:t xml:space="preserve"> И НА ОСНОВНИТЕ ПОКАЗАТЕЛИ НА КОНСОЛИДИРАНАТА ФИСКАЛНА ПРОГРАМА </w:t>
      </w:r>
    </w:p>
    <w:p w14:paraId="22C8CDE5" w14:textId="77777777" w:rsidR="003F47AB" w:rsidRPr="00575C28" w:rsidRDefault="003F47AB" w:rsidP="003F47AB">
      <w:pPr>
        <w:jc w:val="center"/>
        <w:rPr>
          <w:b/>
          <w:bCs/>
        </w:rPr>
      </w:pPr>
      <w:r w:rsidRPr="00575C28">
        <w:rPr>
          <w:b/>
          <w:bCs/>
        </w:rPr>
        <w:t>ЗА 20</w:t>
      </w:r>
      <w:r w:rsidR="006D5D56" w:rsidRPr="00575C28">
        <w:rPr>
          <w:b/>
          <w:bCs/>
        </w:rPr>
        <w:t>2</w:t>
      </w:r>
      <w:r w:rsidR="005C4F64" w:rsidRPr="00575C28">
        <w:rPr>
          <w:b/>
          <w:bCs/>
        </w:rPr>
        <w:t>3</w:t>
      </w:r>
      <w:r w:rsidRPr="00575C28">
        <w:rPr>
          <w:b/>
          <w:bCs/>
        </w:rPr>
        <w:t xml:space="preserve"> ГОДИНА</w:t>
      </w:r>
    </w:p>
    <w:p w14:paraId="0C8F93DA" w14:textId="77777777" w:rsidR="00430A35" w:rsidRPr="00D56089" w:rsidRDefault="00430A35" w:rsidP="003A06C5">
      <w:pPr>
        <w:rPr>
          <w:b/>
          <w:bCs/>
          <w:color w:val="4F81BD" w:themeColor="accent1"/>
        </w:rPr>
      </w:pPr>
    </w:p>
    <w:p w14:paraId="7B27C2E5" w14:textId="77777777" w:rsidR="00E10331" w:rsidRPr="00D56089" w:rsidRDefault="00E10331" w:rsidP="003A06C5">
      <w:pPr>
        <w:rPr>
          <w:b/>
          <w:bCs/>
          <w:color w:val="4F81BD" w:themeColor="accent1"/>
        </w:rPr>
      </w:pPr>
    </w:p>
    <w:p w14:paraId="3F6CCDF1" w14:textId="77777777" w:rsidR="00E10331" w:rsidRPr="00D56089" w:rsidRDefault="00E10331" w:rsidP="003A06C5">
      <w:pPr>
        <w:rPr>
          <w:b/>
          <w:bCs/>
          <w:color w:val="4F81BD" w:themeColor="accent1"/>
        </w:rPr>
      </w:pPr>
    </w:p>
    <w:p w14:paraId="58BE9122" w14:textId="77777777" w:rsidR="00BC5DF4" w:rsidRPr="00813949" w:rsidRDefault="00BC5DF4" w:rsidP="00BC5DF4">
      <w:pPr>
        <w:spacing w:after="210"/>
        <w:jc w:val="both"/>
        <w:rPr>
          <w:b/>
          <w:color w:val="000000" w:themeColor="text1"/>
          <w:u w:val="single"/>
        </w:rPr>
      </w:pPr>
      <w:bookmarkStart w:id="0" w:name="_Toc109903428"/>
      <w:r w:rsidRPr="00813949">
        <w:rPr>
          <w:b/>
          <w:color w:val="000000" w:themeColor="text1"/>
          <w:u w:val="single"/>
        </w:rPr>
        <w:t>Преглед на икономическата среда</w:t>
      </w:r>
    </w:p>
    <w:p w14:paraId="0F903C51" w14:textId="77777777" w:rsidR="00D41E45" w:rsidRPr="00204BD0" w:rsidRDefault="00D41E45" w:rsidP="00D41E45">
      <w:pPr>
        <w:shd w:val="clear" w:color="auto" w:fill="FFFFFF"/>
        <w:spacing w:after="150"/>
        <w:jc w:val="both"/>
        <w:rPr>
          <w:color w:val="000000" w:themeColor="text1"/>
        </w:rPr>
      </w:pPr>
      <w:r w:rsidRPr="00204BD0">
        <w:rPr>
          <w:color w:val="000000" w:themeColor="text1"/>
        </w:rPr>
        <w:t xml:space="preserve">През деветмесечието на 2023 г. реалният растеж на брутния вътрешен продукт достигна 1,8 % и бе движен от потреблението и нетния износ. Потреблението на домакинствата се повиши с 6,3 %, подкрепено от нарастване на реалния разполагаем доход. При публичното потребление бе отчетен спад от 0,9 %. Инвестициите в основен капитал нараснаха </w:t>
      </w:r>
      <w:r>
        <w:rPr>
          <w:color w:val="000000" w:themeColor="text1"/>
        </w:rPr>
        <w:t xml:space="preserve">с </w:t>
      </w:r>
      <w:r w:rsidRPr="00204BD0">
        <w:rPr>
          <w:color w:val="000000" w:themeColor="text1"/>
        </w:rPr>
        <w:t>2,4 % благодарение на публичните капиталови разходи, докато изменението на запасите имаше отрицателен принос за растежа на БВП. Износът на стоки и услуги намаля с 1,9 %, но бе надминат от спада на вноса, който достигна 6,9 %. Намалението на индикатора за бизнес климата и продължаващия</w:t>
      </w:r>
      <w:r>
        <w:rPr>
          <w:color w:val="000000" w:themeColor="text1"/>
        </w:rPr>
        <w:t>т</w:t>
      </w:r>
      <w:r w:rsidRPr="00204BD0">
        <w:rPr>
          <w:color w:val="000000" w:themeColor="text1"/>
        </w:rPr>
        <w:t xml:space="preserve"> спад на промишленото производство през четвърто тримесечие на 2023 г. сигнализират за забавяне на растежа на икономиката в края на годината.</w:t>
      </w:r>
    </w:p>
    <w:p w14:paraId="2B669F15" w14:textId="0FCD6E5F" w:rsidR="00D41E45" w:rsidRPr="00204BD0" w:rsidRDefault="00D41E45" w:rsidP="00D41E45">
      <w:pPr>
        <w:shd w:val="clear" w:color="auto" w:fill="FFFFFF"/>
        <w:spacing w:after="150"/>
        <w:jc w:val="both"/>
        <w:rPr>
          <w:color w:val="000000" w:themeColor="text1"/>
        </w:rPr>
      </w:pPr>
      <w:r w:rsidRPr="00204BD0">
        <w:rPr>
          <w:color w:val="000000" w:themeColor="text1"/>
        </w:rPr>
        <w:t>През деветте месеца на 2023 г. броят на заетите в българската икономика продълж</w:t>
      </w:r>
      <w:r>
        <w:rPr>
          <w:color w:val="000000" w:themeColor="text1"/>
        </w:rPr>
        <w:t>и</w:t>
      </w:r>
      <w:r w:rsidRPr="00204BD0">
        <w:rPr>
          <w:color w:val="000000" w:themeColor="text1"/>
        </w:rPr>
        <w:t xml:space="preserve"> да нараства, но постепенно </w:t>
      </w:r>
      <w:r>
        <w:rPr>
          <w:color w:val="000000" w:themeColor="text1"/>
        </w:rPr>
        <w:t xml:space="preserve">темпът му на </w:t>
      </w:r>
      <w:r w:rsidRPr="00204BD0">
        <w:rPr>
          <w:color w:val="000000" w:themeColor="text1"/>
        </w:rPr>
        <w:t xml:space="preserve">растеж </w:t>
      </w:r>
      <w:r>
        <w:rPr>
          <w:color w:val="000000" w:themeColor="text1"/>
        </w:rPr>
        <w:t xml:space="preserve">се </w:t>
      </w:r>
      <w:r w:rsidRPr="00204BD0">
        <w:rPr>
          <w:color w:val="000000" w:themeColor="text1"/>
        </w:rPr>
        <w:t>забав</w:t>
      </w:r>
      <w:r>
        <w:rPr>
          <w:color w:val="000000" w:themeColor="text1"/>
        </w:rPr>
        <w:t>и</w:t>
      </w:r>
      <w:r w:rsidRPr="00204BD0">
        <w:rPr>
          <w:color w:val="000000" w:themeColor="text1"/>
        </w:rPr>
        <w:t>. За целия период януари-септември 2023 г. заетите се увеличи</w:t>
      </w:r>
      <w:r>
        <w:rPr>
          <w:color w:val="000000" w:themeColor="text1"/>
        </w:rPr>
        <w:t>ха</w:t>
      </w:r>
      <w:r w:rsidRPr="00204BD0">
        <w:rPr>
          <w:color w:val="000000" w:themeColor="text1"/>
        </w:rPr>
        <w:t xml:space="preserve"> с 0,9</w:t>
      </w:r>
      <w:r>
        <w:rPr>
          <w:color w:val="000000" w:themeColor="text1"/>
        </w:rPr>
        <w:t xml:space="preserve"> </w:t>
      </w:r>
      <w:r w:rsidRPr="00204BD0">
        <w:rPr>
          <w:color w:val="000000" w:themeColor="text1"/>
        </w:rPr>
        <w:t>% на годишна база, като основен принос за това има</w:t>
      </w:r>
      <w:r>
        <w:rPr>
          <w:color w:val="000000" w:themeColor="text1"/>
        </w:rPr>
        <w:t>ха</w:t>
      </w:r>
      <w:r w:rsidRPr="00204BD0">
        <w:rPr>
          <w:color w:val="000000" w:themeColor="text1"/>
        </w:rPr>
        <w:t xml:space="preserve"> дейностите от сферата на услугите, където броят на заетите се увеличи с 2,1</w:t>
      </w:r>
      <w:r>
        <w:rPr>
          <w:color w:val="000000" w:themeColor="text1"/>
        </w:rPr>
        <w:t xml:space="preserve"> </w:t>
      </w:r>
      <w:r w:rsidRPr="00204BD0">
        <w:rPr>
          <w:color w:val="000000" w:themeColor="text1"/>
        </w:rPr>
        <w:t>%</w:t>
      </w:r>
      <w:r>
        <w:rPr>
          <w:color w:val="000000" w:themeColor="text1"/>
        </w:rPr>
        <w:t>,</w:t>
      </w:r>
      <w:r w:rsidRPr="00204BD0">
        <w:rPr>
          <w:color w:val="000000" w:themeColor="text1"/>
        </w:rPr>
        <w:t xml:space="preserve"> и в строителството</w:t>
      </w:r>
      <w:r>
        <w:rPr>
          <w:color w:val="000000" w:themeColor="text1"/>
        </w:rPr>
        <w:t>,</w:t>
      </w:r>
      <w:r w:rsidRPr="00204BD0">
        <w:rPr>
          <w:color w:val="000000" w:themeColor="text1"/>
        </w:rPr>
        <w:t xml:space="preserve"> с 1,6</w:t>
      </w:r>
      <w:r>
        <w:rPr>
          <w:color w:val="000000" w:themeColor="text1"/>
        </w:rPr>
        <w:t xml:space="preserve"> </w:t>
      </w:r>
      <w:r w:rsidRPr="00204BD0">
        <w:rPr>
          <w:color w:val="000000" w:themeColor="text1"/>
        </w:rPr>
        <w:t>%. В промишлеността и в аграрния сектор броят на заетите намаля с 1,2</w:t>
      </w:r>
      <w:r>
        <w:rPr>
          <w:color w:val="000000" w:themeColor="text1"/>
        </w:rPr>
        <w:t> </w:t>
      </w:r>
      <w:r w:rsidRPr="00204BD0">
        <w:rPr>
          <w:color w:val="000000" w:themeColor="text1"/>
        </w:rPr>
        <w:t>%, като във втория случай това се дължи изцяло на намалението на броя на самонаетите лица.</w:t>
      </w:r>
    </w:p>
    <w:p w14:paraId="1AF1B030" w14:textId="759C39AF" w:rsidR="00D41E45" w:rsidRPr="00204BD0" w:rsidRDefault="0052447B" w:rsidP="00D41E45">
      <w:pPr>
        <w:shd w:val="clear" w:color="auto" w:fill="FFFFFF"/>
        <w:spacing w:after="150"/>
        <w:jc w:val="both"/>
        <w:rPr>
          <w:color w:val="000000" w:themeColor="text1"/>
        </w:rPr>
      </w:pPr>
      <w:r>
        <w:rPr>
          <w:color w:val="000000" w:themeColor="text1"/>
        </w:rPr>
        <w:t>Н</w:t>
      </w:r>
      <w:r w:rsidR="00D41E45" w:rsidRPr="00204BD0">
        <w:rPr>
          <w:color w:val="000000" w:themeColor="text1"/>
        </w:rPr>
        <w:t>ивото на безработица оста</w:t>
      </w:r>
      <w:r w:rsidR="00F33E13">
        <w:rPr>
          <w:color w:val="000000" w:themeColor="text1"/>
        </w:rPr>
        <w:t>в</w:t>
      </w:r>
      <w:r w:rsidR="00D41E45">
        <w:rPr>
          <w:color w:val="000000" w:themeColor="text1"/>
        </w:rPr>
        <w:t>а</w:t>
      </w:r>
      <w:r w:rsidR="00D41E45" w:rsidRPr="00204BD0">
        <w:rPr>
          <w:color w:val="000000" w:themeColor="text1"/>
        </w:rPr>
        <w:t xml:space="preserve"> относително стабилно в сравнение с предходната година. Коефициентът на безработица за деветте месеца на 2023 г. </w:t>
      </w:r>
      <w:r w:rsidR="00D41E45">
        <w:rPr>
          <w:color w:val="000000" w:themeColor="text1"/>
        </w:rPr>
        <w:t>б</w:t>
      </w:r>
      <w:r w:rsidR="00D41E45" w:rsidRPr="00204BD0">
        <w:rPr>
          <w:color w:val="000000" w:themeColor="text1"/>
        </w:rPr>
        <w:t>е 4,4</w:t>
      </w:r>
      <w:r w:rsidR="00D41E45">
        <w:rPr>
          <w:color w:val="000000" w:themeColor="text1"/>
        </w:rPr>
        <w:t xml:space="preserve"> </w:t>
      </w:r>
      <w:r w:rsidR="00D41E45" w:rsidRPr="00204BD0">
        <w:rPr>
          <w:color w:val="000000" w:themeColor="text1"/>
        </w:rPr>
        <w:t>% и се запаз</w:t>
      </w:r>
      <w:r w:rsidR="00D41E45">
        <w:rPr>
          <w:color w:val="000000" w:themeColor="text1"/>
        </w:rPr>
        <w:t>и</w:t>
      </w:r>
      <w:r w:rsidR="00D41E45" w:rsidRPr="00204BD0">
        <w:rPr>
          <w:color w:val="000000" w:themeColor="text1"/>
        </w:rPr>
        <w:t xml:space="preserve"> на ниво</w:t>
      </w:r>
      <w:r w:rsidR="00D41E45">
        <w:rPr>
          <w:color w:val="000000" w:themeColor="text1"/>
        </w:rPr>
        <w:t>то</w:t>
      </w:r>
      <w:r w:rsidR="00D41E45" w:rsidRPr="00204BD0">
        <w:rPr>
          <w:color w:val="000000" w:themeColor="text1"/>
        </w:rPr>
        <w:t xml:space="preserve"> </w:t>
      </w:r>
      <w:r w:rsidR="00D41E45">
        <w:rPr>
          <w:color w:val="000000" w:themeColor="text1"/>
        </w:rPr>
        <w:t>от</w:t>
      </w:r>
      <w:r w:rsidR="00D41E45" w:rsidRPr="00204BD0">
        <w:rPr>
          <w:color w:val="000000" w:themeColor="text1"/>
        </w:rPr>
        <w:t xml:space="preserve"> същия период на 2022 г. Средната стойност на показателя за деветмесечието на 2023 г. за България </w:t>
      </w:r>
      <w:r w:rsidR="00D41E45">
        <w:rPr>
          <w:color w:val="000000" w:themeColor="text1"/>
        </w:rPr>
        <w:t>б</w:t>
      </w:r>
      <w:r w:rsidR="00D41E45" w:rsidRPr="00204BD0">
        <w:rPr>
          <w:color w:val="000000" w:themeColor="text1"/>
        </w:rPr>
        <w:t xml:space="preserve">е с около 1,2 пр. п. по-нисък в сравнение със средното ниво в ЕС-27. Коефициентът на икономическа активност на населението във възрастовата група 15-64 г. за същия период </w:t>
      </w:r>
      <w:r w:rsidR="00D41E45">
        <w:rPr>
          <w:color w:val="000000" w:themeColor="text1"/>
        </w:rPr>
        <w:t>б</w:t>
      </w:r>
      <w:r w:rsidR="00D41E45" w:rsidRPr="00204BD0">
        <w:rPr>
          <w:color w:val="000000" w:themeColor="text1"/>
        </w:rPr>
        <w:t>е 74,1 % и следва</w:t>
      </w:r>
      <w:r w:rsidR="00D41E45">
        <w:rPr>
          <w:color w:val="000000" w:themeColor="text1"/>
        </w:rPr>
        <w:t>ше</w:t>
      </w:r>
      <w:r w:rsidR="00D41E45" w:rsidRPr="00204BD0">
        <w:rPr>
          <w:color w:val="000000" w:themeColor="text1"/>
        </w:rPr>
        <w:t xml:space="preserve"> постоянна тенденция на нарастване. Все по-остър се очертава проблемът с недостига на работна сила като условие за разширяване на бизнес дейността, като традиционно най-силно той е заявен от предприемачите в строителството и промишлеността. </w:t>
      </w:r>
    </w:p>
    <w:p w14:paraId="4500E6D2" w14:textId="77777777" w:rsidR="00D41E45" w:rsidRPr="00204BD0" w:rsidRDefault="00D41E45" w:rsidP="00D41E45">
      <w:pPr>
        <w:shd w:val="clear" w:color="auto" w:fill="FFFFFF"/>
        <w:spacing w:after="150"/>
        <w:jc w:val="both"/>
        <w:rPr>
          <w:color w:val="000000" w:themeColor="text1"/>
        </w:rPr>
      </w:pPr>
      <w:r w:rsidRPr="00204BD0">
        <w:rPr>
          <w:color w:val="000000" w:themeColor="text1"/>
        </w:rPr>
        <w:t>В периода януари-септември 2023 г. реалният растеж на производителността на труда беше 0,9 % на годишна база</w:t>
      </w:r>
      <w:r>
        <w:rPr>
          <w:color w:val="000000" w:themeColor="text1"/>
        </w:rPr>
        <w:t>,</w:t>
      </w:r>
      <w:r w:rsidRPr="00204BD0">
        <w:rPr>
          <w:color w:val="000000" w:themeColor="text1"/>
        </w:rPr>
        <w:t xml:space="preserve"> като водещ принос имаше промишлеността. С наблюдаваната възходяща тенденция на компенсацията на един нает над растежа на реалната производителност на труда, номиналните разходи за труд на единица продукция (НРТЕП) продължиха да се повишават с двуцифрен темп и достигнаха 13,4</w:t>
      </w:r>
      <w:r>
        <w:rPr>
          <w:color w:val="000000" w:themeColor="text1"/>
        </w:rPr>
        <w:t xml:space="preserve"> </w:t>
      </w:r>
      <w:r w:rsidRPr="00204BD0">
        <w:rPr>
          <w:color w:val="000000" w:themeColor="text1"/>
        </w:rPr>
        <w:t>% на годишна база. В реално изражение тези разходи също бяха положителни (3,7</w:t>
      </w:r>
      <w:r>
        <w:rPr>
          <w:color w:val="000000" w:themeColor="text1"/>
        </w:rPr>
        <w:t xml:space="preserve"> </w:t>
      </w:r>
      <w:r w:rsidRPr="00204BD0">
        <w:rPr>
          <w:color w:val="000000" w:themeColor="text1"/>
        </w:rPr>
        <w:t>%)  спрямо нивото си от предходната година. През разглеждания период данните за средната работна заплата (СРЗ) показват, че нейният ръст в частния сектор (15,4</w:t>
      </w:r>
      <w:r>
        <w:rPr>
          <w:color w:val="000000" w:themeColor="text1"/>
        </w:rPr>
        <w:t xml:space="preserve"> </w:t>
      </w:r>
      <w:r w:rsidRPr="00204BD0">
        <w:rPr>
          <w:color w:val="000000" w:themeColor="text1"/>
        </w:rPr>
        <w:t>%) е надхвърлил този в обществения сектор (14%). Общо за икономиката, средната работна заплата се е повишила с 15,1</w:t>
      </w:r>
      <w:r>
        <w:rPr>
          <w:color w:val="000000" w:themeColor="text1"/>
        </w:rPr>
        <w:t xml:space="preserve"> </w:t>
      </w:r>
      <w:r w:rsidRPr="00204BD0">
        <w:rPr>
          <w:color w:val="000000" w:themeColor="text1"/>
        </w:rPr>
        <w:t>% в номинално изражение и успя да компенсира нарастването на потребителските цени в страната, като реалният ръст на показателя се запази положителен от 4,8</w:t>
      </w:r>
      <w:r>
        <w:rPr>
          <w:color w:val="000000" w:themeColor="text1"/>
        </w:rPr>
        <w:t> </w:t>
      </w:r>
      <w:r w:rsidRPr="00204BD0">
        <w:rPr>
          <w:color w:val="000000" w:themeColor="text1"/>
        </w:rPr>
        <w:t xml:space="preserve">% (дефлиран с ХИПЦ).  </w:t>
      </w:r>
    </w:p>
    <w:p w14:paraId="4EA3E7C5" w14:textId="77777777" w:rsidR="00D41E45" w:rsidRPr="00204BD0" w:rsidRDefault="00D41E45" w:rsidP="00D41E45">
      <w:pPr>
        <w:shd w:val="clear" w:color="auto" w:fill="FFFFFF"/>
        <w:spacing w:after="150"/>
        <w:jc w:val="both"/>
        <w:rPr>
          <w:color w:val="000000" w:themeColor="text1"/>
        </w:rPr>
      </w:pPr>
      <w:r w:rsidRPr="00204BD0">
        <w:rPr>
          <w:color w:val="000000" w:themeColor="text1"/>
        </w:rPr>
        <w:t>От последното тримесечие на 2022 г. в страната е налице тенденция към намаление на годишния темп на инфлацията. Той се сви до 5</w:t>
      </w:r>
      <w:r>
        <w:rPr>
          <w:color w:val="000000" w:themeColor="text1"/>
        </w:rPr>
        <w:t>,</w:t>
      </w:r>
      <w:r w:rsidRPr="00204BD0">
        <w:rPr>
          <w:color w:val="000000" w:themeColor="text1"/>
        </w:rPr>
        <w:t>0</w:t>
      </w:r>
      <w:r>
        <w:rPr>
          <w:color w:val="000000" w:themeColor="text1"/>
        </w:rPr>
        <w:t xml:space="preserve"> </w:t>
      </w:r>
      <w:r w:rsidRPr="00204BD0">
        <w:rPr>
          <w:color w:val="000000" w:themeColor="text1"/>
        </w:rPr>
        <w:t>% според ХИПЦ в края на 2023 г., при 14</w:t>
      </w:r>
      <w:r>
        <w:rPr>
          <w:color w:val="000000" w:themeColor="text1"/>
        </w:rPr>
        <w:t>,</w:t>
      </w:r>
      <w:r w:rsidRPr="00204BD0">
        <w:rPr>
          <w:color w:val="000000" w:themeColor="text1"/>
        </w:rPr>
        <w:t>3</w:t>
      </w:r>
      <w:r>
        <w:rPr>
          <w:color w:val="000000" w:themeColor="text1"/>
        </w:rPr>
        <w:t xml:space="preserve"> </w:t>
      </w:r>
      <w:r w:rsidRPr="00204BD0">
        <w:rPr>
          <w:color w:val="000000" w:themeColor="text1"/>
        </w:rPr>
        <w:t>% в края на предходната година, а средногодишната инфлация бе 8</w:t>
      </w:r>
      <w:r>
        <w:rPr>
          <w:color w:val="000000" w:themeColor="text1"/>
        </w:rPr>
        <w:t>,</w:t>
      </w:r>
      <w:r w:rsidRPr="00204BD0">
        <w:rPr>
          <w:color w:val="000000" w:themeColor="text1"/>
        </w:rPr>
        <w:t>6</w:t>
      </w:r>
      <w:r>
        <w:rPr>
          <w:color w:val="000000" w:themeColor="text1"/>
        </w:rPr>
        <w:t xml:space="preserve"> </w:t>
      </w:r>
      <w:r w:rsidRPr="00204BD0">
        <w:rPr>
          <w:color w:val="000000" w:themeColor="text1"/>
        </w:rPr>
        <w:t xml:space="preserve">%. Забавянето на инфлационните процеси в страната се дължи в най-голяма степен на тенденцията на намаление на международните цени на суровините, както и на базов ефект от ускореното поскъпване през предходната година. Забавяне на поскъпването през годината бе отчетено при почти всички основни компоненти на ХИПЦ, като най-съществено то бе при храни и безалкохолни напитки, а водещи за това бяха преработените храни. Единствено групата алкохол и тютюневи изделия </w:t>
      </w:r>
      <w:r w:rsidRPr="00204BD0">
        <w:rPr>
          <w:color w:val="000000" w:themeColor="text1"/>
        </w:rPr>
        <w:lastRenderedPageBreak/>
        <w:t xml:space="preserve">имаше ускорение, което се дължеше на въведените по-високи акцизни ставки при цигарите от март 2023 г. С най-висок положителен принос за формиране на инфлацията към декември бяха услугите, следвани от храните и неенергийните промишлени стоки. Базисната инфлация (услуги и неенергийни промишлени стоки) също продължи да се забавя до 5.4% на годишна база в края на годината, като все още остава на относително високо ниво под влияние на вторичните ефекти от повишението на разходите за труд в икономиката и силното потребителско търсене. </w:t>
      </w:r>
    </w:p>
    <w:p w14:paraId="00FF5679" w14:textId="77777777" w:rsidR="00D41E45" w:rsidRPr="00204BD0" w:rsidRDefault="00D41E45" w:rsidP="00D41E45">
      <w:pPr>
        <w:shd w:val="clear" w:color="auto" w:fill="FFFFFF"/>
        <w:spacing w:after="150"/>
        <w:jc w:val="both"/>
        <w:rPr>
          <w:color w:val="000000" w:themeColor="text1"/>
        </w:rPr>
      </w:pPr>
      <w:r w:rsidRPr="00204BD0">
        <w:rPr>
          <w:color w:val="000000" w:themeColor="text1"/>
        </w:rPr>
        <w:t>Външната позиция на страната остана устойчива. В периода януари-ноември салдото по текущата сметка достигна излишък от 0,7 % от прогнозния БВП спрямо дефицит година по-рано, подкрепено от по-благоприятен баланс при търговията със стоки и с услуги. Вносът и износът на стоки се понижаваха на годишна база от месец март, повлияни както от спада на цените на международните пазари, така и от по-малкото търгувани количества. Понижението при вноса (10,3</w:t>
      </w:r>
      <w:r>
        <w:rPr>
          <w:color w:val="000000" w:themeColor="text1"/>
        </w:rPr>
        <w:t xml:space="preserve"> </w:t>
      </w:r>
      <w:r w:rsidRPr="00204BD0">
        <w:rPr>
          <w:color w:val="000000" w:themeColor="text1"/>
        </w:rPr>
        <w:t>%) изпревари това при износа (8%) и формира по-малък търговски дефицит спрямо предходната година. Излишъкът в търговията с услуги нарасна, подкрепен от растеж на износа на туристически (17</w:t>
      </w:r>
      <w:r>
        <w:rPr>
          <w:color w:val="000000" w:themeColor="text1"/>
        </w:rPr>
        <w:t xml:space="preserve"> </w:t>
      </w:r>
      <w:r w:rsidRPr="00204BD0">
        <w:rPr>
          <w:color w:val="000000" w:themeColor="text1"/>
        </w:rPr>
        <w:t>%), комуникационни (16,7</w:t>
      </w:r>
      <w:r>
        <w:rPr>
          <w:color w:val="000000" w:themeColor="text1"/>
        </w:rPr>
        <w:t xml:space="preserve"> %</w:t>
      </w:r>
      <w:r w:rsidRPr="00204BD0">
        <w:rPr>
          <w:color w:val="000000" w:themeColor="text1"/>
        </w:rPr>
        <w:t>) и професионални и консултантски услуги (26,3%).</w:t>
      </w:r>
    </w:p>
    <w:p w14:paraId="5EA514A1" w14:textId="77777777" w:rsidR="00D41E45" w:rsidRPr="00204BD0" w:rsidRDefault="00D41E45" w:rsidP="00D41E45">
      <w:pPr>
        <w:shd w:val="clear" w:color="auto" w:fill="FFFFFF"/>
        <w:spacing w:after="150"/>
        <w:jc w:val="both"/>
        <w:rPr>
          <w:color w:val="000000" w:themeColor="text1"/>
        </w:rPr>
      </w:pPr>
      <w:r w:rsidRPr="00204BD0">
        <w:rPr>
          <w:color w:val="000000" w:themeColor="text1"/>
        </w:rPr>
        <w:t>Брутните международни валутни резерви на страната продължиха да осигуряват стабилното функциониране на Паричния съвет, като пазарната им стойност към края на 2023 г. възлезе на 41,9 млрд. евро. Годишният растеж на кредита за частния сектор следваше предимно низходяща тенденция в периода януари-август, когато достигна най-ниската си стойност за годината от 10,8</w:t>
      </w:r>
      <w:r>
        <w:rPr>
          <w:color w:val="000000" w:themeColor="text1"/>
        </w:rPr>
        <w:t> </w:t>
      </w:r>
      <w:r w:rsidRPr="00204BD0">
        <w:rPr>
          <w:color w:val="000000" w:themeColor="text1"/>
        </w:rPr>
        <w:t>%. През оставащите месеци от 2023 г. темпът му се ускори и в края на декември достигна 12</w:t>
      </w:r>
      <w:r>
        <w:rPr>
          <w:color w:val="000000" w:themeColor="text1"/>
        </w:rPr>
        <w:t> </w:t>
      </w:r>
      <w:r w:rsidRPr="00204BD0">
        <w:rPr>
          <w:color w:val="000000" w:themeColor="text1"/>
        </w:rPr>
        <w:t>%, отбелязвайки по този начин понижение спрямо ръст</w:t>
      </w:r>
      <w:r>
        <w:rPr>
          <w:color w:val="000000" w:themeColor="text1"/>
        </w:rPr>
        <w:t>а</w:t>
      </w:r>
      <w:r w:rsidRPr="00204BD0">
        <w:rPr>
          <w:color w:val="000000" w:themeColor="text1"/>
        </w:rPr>
        <w:t xml:space="preserve"> от 12,7 % в края на 2022 г. За търсенето на кредити през годината допринесоха в по-голяма степен домакинствата, които ускориха нарастването си спрямо предходната година, докато при нефинансовите предприятия беше налице забавяне. Към края на декември кредитите за домакинства се увеличиха с 15,9 % спрямо година по-рано. Потребителските кредити се увеличиха с 12,3 % спрямо края на 2022 г., а темпът на растеж на жилищните кредити се ускори до 20,5 %. По-високото търсене на кредити от страна на домакинствата, освен с все още ниските лихвени проценти и нарастващите цени на жилищата, се обуславяше и от положителната динамика на пазара на труда и положителния реален ръст на заплатите. Годишният растеж на кредитите за нефинансови предприятия в края на декември се понижи до 6,9 % при 10,4 % в края на 2022 г.</w:t>
      </w:r>
      <w:r>
        <w:rPr>
          <w:color w:val="000000" w:themeColor="text1"/>
        </w:rPr>
        <w:t>, като з</w:t>
      </w:r>
      <w:r w:rsidRPr="00204BD0">
        <w:rPr>
          <w:color w:val="000000" w:themeColor="text1"/>
        </w:rPr>
        <w:t>абавянето може да се свърже с пониженото търсене на оборотни ресурси от фирмите</w:t>
      </w:r>
      <w:r>
        <w:rPr>
          <w:color w:val="000000" w:themeColor="text1"/>
        </w:rPr>
        <w:t>.</w:t>
      </w:r>
    </w:p>
    <w:p w14:paraId="37935D45" w14:textId="77777777" w:rsidR="00BC5DF4" w:rsidRPr="004E6A73" w:rsidRDefault="00BC5DF4" w:rsidP="00BC5DF4">
      <w:pPr>
        <w:spacing w:before="360"/>
        <w:jc w:val="both"/>
        <w:rPr>
          <w:b/>
          <w:color w:val="000000" w:themeColor="text1"/>
          <w:u w:val="single"/>
        </w:rPr>
      </w:pPr>
      <w:r w:rsidRPr="004E6A73">
        <w:rPr>
          <w:b/>
          <w:color w:val="000000" w:themeColor="text1"/>
          <w:u w:val="single"/>
        </w:rPr>
        <w:t>Бюджетна позиция</w:t>
      </w:r>
    </w:p>
    <w:p w14:paraId="2B6E03B9" w14:textId="77777777" w:rsidR="00BC5DF4" w:rsidRPr="00A37900" w:rsidRDefault="00BC5DF4" w:rsidP="00BC5DF4">
      <w:pPr>
        <w:shd w:val="clear" w:color="auto" w:fill="FFFFFF"/>
        <w:spacing w:after="150"/>
        <w:jc w:val="both"/>
        <w:rPr>
          <w:color w:val="000000" w:themeColor="text1"/>
          <w:sz w:val="2"/>
          <w:szCs w:val="2"/>
        </w:rPr>
      </w:pPr>
    </w:p>
    <w:p w14:paraId="755CD352" w14:textId="33DA25E9" w:rsidR="003519CC" w:rsidRPr="003519CC" w:rsidRDefault="003519CC" w:rsidP="003519CC">
      <w:pPr>
        <w:shd w:val="clear" w:color="auto" w:fill="FFFFFF"/>
        <w:spacing w:after="150"/>
        <w:jc w:val="both"/>
        <w:rPr>
          <w:color w:val="000000" w:themeColor="text1"/>
        </w:rPr>
      </w:pPr>
      <w:r w:rsidRPr="003519CC">
        <w:rPr>
          <w:color w:val="000000" w:themeColor="text1"/>
        </w:rPr>
        <w:t>Фискалната рамка към внесения в НС в началото на юли 2023 г. законопроект за държавния бюджет за 2023 г. (РМС №459/05.07.2023 г.) бе изготвена при допускане индикативният размер на салдото по КФП да възлезе на дефицит от 2,5</w:t>
      </w:r>
      <w:r w:rsidR="007C39F0">
        <w:rPr>
          <w:color w:val="000000" w:themeColor="text1"/>
        </w:rPr>
        <w:t xml:space="preserve"> </w:t>
      </w:r>
      <w:r w:rsidRPr="003519CC">
        <w:rPr>
          <w:color w:val="000000" w:themeColor="text1"/>
        </w:rPr>
        <w:t xml:space="preserve">% от прогнозния БВП, а на сектор „Държавно управление“ - дефицит от 3,0 % от прогнозния БВП. </w:t>
      </w:r>
    </w:p>
    <w:p w14:paraId="40F676F8" w14:textId="0523EE26" w:rsidR="003519CC" w:rsidRDefault="003519CC" w:rsidP="003519CC">
      <w:pPr>
        <w:shd w:val="clear" w:color="auto" w:fill="FFFFFF"/>
        <w:spacing w:after="150"/>
        <w:jc w:val="both"/>
        <w:rPr>
          <w:color w:val="000000" w:themeColor="text1"/>
        </w:rPr>
      </w:pPr>
      <w:r w:rsidRPr="003519CC">
        <w:rPr>
          <w:color w:val="000000" w:themeColor="text1"/>
        </w:rPr>
        <w:t>С мотивите към законопроекта за държавния бюджет за 2024 г. индикативната цел за бюджетното салдо по КФП бе променена, отчитайки рисковете вторият транш по Плана за възстановяване и развитие да бъде отложен за 2024 г. В очакваното изпълнение за 2023 г. в доклада към Актуализираната средносрочна бюджетна прогноза за периода 2024-2026 г. бе заложено при допускане за такова забавяне индикативният размер на дефицита по КФП за 2023 г. да възлезе на 5,8 млрд. лв. (3 % от прогнозния БВП).</w:t>
      </w:r>
    </w:p>
    <w:p w14:paraId="36919A03" w14:textId="09A2ADE9" w:rsidR="00BC5DF4" w:rsidRPr="004A2E93" w:rsidRDefault="00BC5DF4" w:rsidP="00BC5DF4">
      <w:pPr>
        <w:shd w:val="clear" w:color="auto" w:fill="FFFFFF"/>
        <w:spacing w:after="150"/>
        <w:jc w:val="both"/>
        <w:rPr>
          <w:sz w:val="23"/>
          <w:szCs w:val="23"/>
          <w:lang w:val="ru-RU"/>
        </w:rPr>
      </w:pPr>
      <w:r>
        <w:rPr>
          <w:color w:val="000000" w:themeColor="text1"/>
        </w:rPr>
        <w:t>Предварителните прогнози на Министерството на финансите очертават д</w:t>
      </w:r>
      <w:r w:rsidRPr="007709CC">
        <w:rPr>
          <w:sz w:val="23"/>
          <w:szCs w:val="23"/>
        </w:rPr>
        <w:t>ефицит</w:t>
      </w:r>
      <w:r w:rsidR="00D41E45">
        <w:rPr>
          <w:sz w:val="23"/>
          <w:szCs w:val="23"/>
        </w:rPr>
        <w:t>ът</w:t>
      </w:r>
      <w:r w:rsidRPr="007709CC">
        <w:rPr>
          <w:sz w:val="23"/>
          <w:szCs w:val="23"/>
        </w:rPr>
        <w:t xml:space="preserve"> </w:t>
      </w:r>
      <w:r>
        <w:rPr>
          <w:sz w:val="23"/>
          <w:szCs w:val="23"/>
        </w:rPr>
        <w:t xml:space="preserve">на сектор </w:t>
      </w:r>
      <w:r w:rsidR="00092F7D">
        <w:rPr>
          <w:sz w:val="23"/>
          <w:szCs w:val="23"/>
        </w:rPr>
        <w:t>„Д</w:t>
      </w:r>
      <w:r>
        <w:rPr>
          <w:sz w:val="23"/>
          <w:szCs w:val="23"/>
        </w:rPr>
        <w:t>ържавно управление</w:t>
      </w:r>
      <w:r w:rsidR="00092F7D">
        <w:rPr>
          <w:sz w:val="23"/>
          <w:szCs w:val="23"/>
        </w:rPr>
        <w:t>“</w:t>
      </w:r>
      <w:r>
        <w:rPr>
          <w:sz w:val="23"/>
          <w:szCs w:val="23"/>
        </w:rPr>
        <w:t xml:space="preserve"> </w:t>
      </w:r>
      <w:r w:rsidRPr="007709CC">
        <w:rPr>
          <w:sz w:val="23"/>
          <w:szCs w:val="23"/>
        </w:rPr>
        <w:t>за 202</w:t>
      </w:r>
      <w:r>
        <w:rPr>
          <w:sz w:val="23"/>
          <w:szCs w:val="23"/>
        </w:rPr>
        <w:t>3</w:t>
      </w:r>
      <w:r w:rsidRPr="007709CC">
        <w:rPr>
          <w:sz w:val="23"/>
          <w:szCs w:val="23"/>
        </w:rPr>
        <w:t xml:space="preserve"> г.</w:t>
      </w:r>
      <w:r>
        <w:rPr>
          <w:sz w:val="23"/>
          <w:szCs w:val="23"/>
        </w:rPr>
        <w:t xml:space="preserve"> (ЕСС 2010)</w:t>
      </w:r>
      <w:r w:rsidRPr="007709CC">
        <w:rPr>
          <w:sz w:val="23"/>
          <w:szCs w:val="23"/>
        </w:rPr>
        <w:t xml:space="preserve"> да бъде в размер на около 2,</w:t>
      </w:r>
      <w:r>
        <w:rPr>
          <w:sz w:val="23"/>
          <w:szCs w:val="23"/>
        </w:rPr>
        <w:t>2</w:t>
      </w:r>
      <w:r w:rsidRPr="007709CC">
        <w:rPr>
          <w:sz w:val="23"/>
          <w:szCs w:val="23"/>
        </w:rPr>
        <w:t xml:space="preserve"> % от БВП, </w:t>
      </w:r>
      <w:r>
        <w:rPr>
          <w:sz w:val="23"/>
          <w:szCs w:val="23"/>
        </w:rPr>
        <w:t xml:space="preserve"> което</w:t>
      </w:r>
      <w:r w:rsidRPr="007709CC">
        <w:rPr>
          <w:sz w:val="23"/>
          <w:szCs w:val="23"/>
        </w:rPr>
        <w:t xml:space="preserve"> </w:t>
      </w:r>
      <w:r>
        <w:rPr>
          <w:sz w:val="23"/>
          <w:szCs w:val="23"/>
        </w:rPr>
        <w:t xml:space="preserve">е в рамките на критериите на Пакта за стабилност и растеж и дава стабилна перспектива при оценката за конвергенция в доклада на ЕК и ЕЦБ в хода на процеса на присъединяване на </w:t>
      </w:r>
      <w:r w:rsidRPr="007709CC">
        <w:rPr>
          <w:sz w:val="23"/>
          <w:szCs w:val="23"/>
        </w:rPr>
        <w:t xml:space="preserve">България </w:t>
      </w:r>
      <w:r>
        <w:rPr>
          <w:sz w:val="23"/>
          <w:szCs w:val="23"/>
        </w:rPr>
        <w:t>към Еврозоната.</w:t>
      </w:r>
    </w:p>
    <w:p w14:paraId="0ACE3BB6" w14:textId="77777777" w:rsidR="00BC5DF4" w:rsidRPr="007340F5" w:rsidRDefault="00BC5DF4" w:rsidP="00BC5DF4">
      <w:pPr>
        <w:spacing w:before="120" w:after="210"/>
        <w:jc w:val="both"/>
        <w:rPr>
          <w:color w:val="000000" w:themeColor="text1"/>
        </w:rPr>
      </w:pPr>
      <w:r w:rsidRPr="007340F5">
        <w:rPr>
          <w:color w:val="000000" w:themeColor="text1"/>
        </w:rPr>
        <w:t>На база на данните от месечните отчети за касовото изпълнение на бюджетите на първостепенните разпоредители с бюджет салдото по консолидираната фискална програма за 202</w:t>
      </w:r>
      <w:r>
        <w:rPr>
          <w:color w:val="000000" w:themeColor="text1"/>
        </w:rPr>
        <w:t>3</w:t>
      </w:r>
      <w:r w:rsidRPr="007340F5">
        <w:rPr>
          <w:color w:val="000000" w:themeColor="text1"/>
        </w:rPr>
        <w:t xml:space="preserve"> г. е</w:t>
      </w:r>
      <w:r>
        <w:rPr>
          <w:color w:val="000000" w:themeColor="text1"/>
        </w:rPr>
        <w:t xml:space="preserve"> отрицателно в размер на 5 619,4</w:t>
      </w:r>
      <w:r w:rsidRPr="007340F5">
        <w:rPr>
          <w:color w:val="000000" w:themeColor="text1"/>
        </w:rPr>
        <w:t xml:space="preserve"> млн. лв. (</w:t>
      </w:r>
      <w:r>
        <w:rPr>
          <w:color w:val="000000" w:themeColor="text1"/>
        </w:rPr>
        <w:t>2,9</w:t>
      </w:r>
      <w:r w:rsidRPr="007340F5">
        <w:rPr>
          <w:color w:val="000000" w:themeColor="text1"/>
        </w:rPr>
        <w:t xml:space="preserve"> % от прогнозния БВП)</w:t>
      </w:r>
      <w:r>
        <w:rPr>
          <w:color w:val="000000" w:themeColor="text1"/>
        </w:rPr>
        <w:t xml:space="preserve"> и се формира от дефицит по националния бюджет в размер на 5 398,5 млн. лв. и по европейските средства в размер на 220,9 млн. лв. </w:t>
      </w:r>
      <w:r w:rsidRPr="007340F5">
        <w:rPr>
          <w:color w:val="000000" w:themeColor="text1"/>
        </w:rPr>
        <w:t xml:space="preserve">Бюджетното салдо по КФП за годината на касова основа съответства на предвидения ограничител във фискалното правило по чл. 27, ал. 4 </w:t>
      </w:r>
      <w:r>
        <w:rPr>
          <w:color w:val="000000" w:themeColor="text1"/>
        </w:rPr>
        <w:t>от</w:t>
      </w:r>
      <w:r w:rsidRPr="007340F5">
        <w:rPr>
          <w:color w:val="000000" w:themeColor="text1"/>
        </w:rPr>
        <w:t xml:space="preserve"> ЗПФ.</w:t>
      </w:r>
    </w:p>
    <w:p w14:paraId="24D567B2" w14:textId="1B652CDD" w:rsidR="00BC5DF4" w:rsidRDefault="006356E5" w:rsidP="00BC5DF4">
      <w:pPr>
        <w:spacing w:after="210"/>
        <w:jc w:val="both"/>
        <w:rPr>
          <w:color w:val="000000" w:themeColor="text1"/>
        </w:rPr>
      </w:pPr>
      <w:r w:rsidRPr="006356E5">
        <w:rPr>
          <w:color w:val="000000" w:themeColor="text1"/>
        </w:rPr>
        <w:t>Заложените в ЗДБРБ за 2023 г. ограничители по отношение на държавния дълг са спазени. В номинално изражение държавният дълг към края на 2023 г. възлиза на 40,5 млрд. лв. (21,2 % от прогнозния БВП)</w:t>
      </w:r>
      <w:r w:rsidR="00BC5DF4" w:rsidRPr="00A37900">
        <w:rPr>
          <w:color w:val="000000" w:themeColor="text1"/>
        </w:rPr>
        <w:t>.</w:t>
      </w:r>
    </w:p>
    <w:p w14:paraId="29F7E272" w14:textId="77777777" w:rsidR="00BC5DF4" w:rsidRPr="008C102A" w:rsidRDefault="00BC5DF4" w:rsidP="00BC5DF4">
      <w:pPr>
        <w:spacing w:before="360"/>
        <w:jc w:val="both"/>
        <w:rPr>
          <w:b/>
          <w:color w:val="000000" w:themeColor="text1"/>
          <w:u w:val="single"/>
        </w:rPr>
      </w:pPr>
      <w:r w:rsidRPr="008C102A">
        <w:rPr>
          <w:b/>
          <w:color w:val="000000" w:themeColor="text1"/>
          <w:u w:val="single"/>
        </w:rPr>
        <w:t>Основни акценти във връзка с текущото наблюдение на изпълнението на консолидираната фискална програма за 202</w:t>
      </w:r>
      <w:r>
        <w:rPr>
          <w:b/>
          <w:color w:val="000000" w:themeColor="text1"/>
          <w:u w:val="single"/>
        </w:rPr>
        <w:t>3</w:t>
      </w:r>
      <w:r w:rsidRPr="008C102A">
        <w:rPr>
          <w:b/>
          <w:color w:val="000000" w:themeColor="text1"/>
          <w:u w:val="single"/>
        </w:rPr>
        <w:t xml:space="preserve"> г.</w:t>
      </w:r>
    </w:p>
    <w:p w14:paraId="25B6ED88" w14:textId="77777777" w:rsidR="00BC5DF4" w:rsidRPr="00885CB4" w:rsidRDefault="00BC5DF4" w:rsidP="00BC5DF4">
      <w:pPr>
        <w:spacing w:after="210"/>
        <w:jc w:val="both"/>
        <w:rPr>
          <w:color w:val="000000" w:themeColor="text1"/>
          <w:sz w:val="4"/>
          <w:szCs w:val="4"/>
        </w:rPr>
      </w:pPr>
    </w:p>
    <w:p w14:paraId="75C34422" w14:textId="77777777" w:rsidR="00BC5DF4" w:rsidRPr="009C0C5C" w:rsidRDefault="00BC5DF4" w:rsidP="00BC5DF4">
      <w:pPr>
        <w:spacing w:after="120"/>
        <w:jc w:val="both"/>
        <w:rPr>
          <w:b/>
          <w:i/>
        </w:rPr>
      </w:pPr>
      <w:r w:rsidRPr="009C0C5C">
        <w:rPr>
          <w:b/>
          <w:i/>
        </w:rPr>
        <w:t>Политическа нестабилност и късно приемане на законопроекта за държавния бюджет едва в средата на годината</w:t>
      </w:r>
    </w:p>
    <w:p w14:paraId="5F19C25D" w14:textId="5BDE545E" w:rsidR="00BC5DF4" w:rsidRDefault="00BC5DF4" w:rsidP="00BC5DF4">
      <w:pPr>
        <w:spacing w:after="120"/>
        <w:jc w:val="both"/>
      </w:pPr>
      <w:r>
        <w:t>Политическата нестабилност и невъзможността за сформиране на редовно правителство в края на 2022 г., както и решението на действащото в този период служебно правителство за отлагане на внасянето на законопроекта за бюджета за 2023 г. за след провеждането на нови парламентарни избори през пролетта наложиха в</w:t>
      </w:r>
      <w:r w:rsidRPr="009E3533">
        <w:t xml:space="preserve"> края на 2022 г. в Народното събрание </w:t>
      </w:r>
      <w:r>
        <w:t>да</w:t>
      </w:r>
      <w:r w:rsidRPr="009E3533">
        <w:t xml:space="preserve"> </w:t>
      </w:r>
      <w:r>
        <w:t xml:space="preserve">бъде </w:t>
      </w:r>
      <w:r w:rsidRPr="009E3533">
        <w:t>внесен</w:t>
      </w:r>
      <w:r>
        <w:t>о</w:t>
      </w:r>
      <w:r w:rsidRPr="009E3533">
        <w:t xml:space="preserve"> законодателно предложение за уреждане временно на някои бюджетни отношения, в резултат на което на 23 декември 2022 г. беше приет Закон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w:t>
      </w:r>
      <w:r w:rsidR="00C21B0F">
        <w:t> </w:t>
      </w:r>
      <w:r w:rsidRPr="009E3533">
        <w:t>г., или т.</w:t>
      </w:r>
      <w:r>
        <w:t xml:space="preserve"> </w:t>
      </w:r>
      <w:r w:rsidRPr="009E3533">
        <w:t>нар. „удължителен закон“ (обн., ДВ, бр. 104 от 30.12.2022 г.</w:t>
      </w:r>
      <w:r w:rsidRPr="005217E8">
        <w:rPr>
          <w:lang w:val="ru-RU"/>
        </w:rPr>
        <w:t>;</w:t>
      </w:r>
      <w:r w:rsidRPr="005217E8">
        <w:t xml:space="preserve"> изм. и доп. бр. 53 от 2023 г.</w:t>
      </w:r>
      <w:r>
        <w:t>).</w:t>
      </w:r>
    </w:p>
    <w:p w14:paraId="7A4246EB" w14:textId="77777777" w:rsidR="00BC5DF4" w:rsidRDefault="00BC5DF4" w:rsidP="00BC5DF4">
      <w:pPr>
        <w:spacing w:after="120"/>
        <w:jc w:val="both"/>
      </w:pPr>
      <w:r>
        <w:t xml:space="preserve">В резултат календарната 2023 г. започна при липса на приет от Народното събрание бюджет за годината, съответно с прилагане на чл. 87, ал. 1 на Закона за публичните финанси (ЗПФ) и при действието разпоредбите на удължителен закон. В края на месец април 2023 г. служебното правителство изготви и одобри проект на ЗДБРБ за 2023 г. и проект на АСБП за периода 2023 г. – 2025 г. (РМС №331/28.04.2023 г.), които обаче не намериха подкрепа в Народното събрание и не бяха приети. Основната причина за това бе фискалната рамка в законопроекта, която предвиждаше дефицит по КФП, който значително надвишаваше допустимите референтни стойности по чл. 27, ал. 4 на ЗПФ, съответно дефицитът на сектор „Държавно управление“ също бе значително по-голям от референтната стойност от 3 на сто от БВП в Пакта за стабилност и растеж. Това изискваше и значително по-високи тавани по отношение на новия държавен дълг, който може да бъде поет за финансиране на дефицита за 2023 г. и в средносрочен план. </w:t>
      </w:r>
    </w:p>
    <w:p w14:paraId="2F6429BE" w14:textId="26FE5902" w:rsidR="00315F39" w:rsidRDefault="00315F39" w:rsidP="00315F39">
      <w:pPr>
        <w:spacing w:after="120"/>
        <w:jc w:val="both"/>
      </w:pPr>
      <w:r>
        <w:t>В началото на юни 2023 г.</w:t>
      </w:r>
      <w:r>
        <w:rPr>
          <w:lang w:val="en-US"/>
        </w:rPr>
        <w:t>,</w:t>
      </w:r>
      <w:r>
        <w:t xml:space="preserve"> с подкрепата на двете водещи политически формации в Народното събрание</w:t>
      </w:r>
      <w:r>
        <w:rPr>
          <w:lang w:val="en-US"/>
        </w:rPr>
        <w:t>,</w:t>
      </w:r>
      <w:r>
        <w:t xml:space="preserve"> бе сформирано ново редовно правителство, което постави във фокуса на своята политика максимално бързото приемане на законопроекта за държавния бюджет за настоящата </w:t>
      </w:r>
      <w:r w:rsidRPr="00734B78">
        <w:t>година при спазване на ангажиментите на страната в контекста на присъединяването към Еврозоната. Разчетите по проекта на ЗДБРБ за 2023 г. и АСБП за периода 2023-2025 г. (РМС №459/05.07.2023 г.) бяха разработени при съобразяване с индикаторите и допусканията на пролетната макроикономическа прогноза на МФ за развитието на националната икономика и оценките за ефекта върху основните показатели на КФП от политиките, предопределящи приходите и разходите. Във фискалната рамка бяха отразени, от една страна, нови мерки за повишаване на събираемостта на приходите от приходните администрации и допълнителни мерки по приходите при допускания да не се увеличават данъците</w:t>
      </w:r>
      <w:r w:rsidR="00541FE6" w:rsidRPr="00734B78">
        <w:t>,</w:t>
      </w:r>
      <w:r w:rsidRPr="00734B78">
        <w:t xml:space="preserve"> и от друга, свиване на разходите на база на преглед на капиталовата програма и разходите за издръжка на администрациите по държавния бюджет и с оглед да не се ограничават социалните плащания като се осигури предвиденото увеличение на пенсиите през 2023 година. По отношение на бюджетното салдо е</w:t>
      </w:r>
      <w:r>
        <w:t xml:space="preserve"> заложен </w:t>
      </w:r>
      <w:r w:rsidRPr="009E3533">
        <w:t>дефицит</w:t>
      </w:r>
      <w:r>
        <w:t xml:space="preserve"> на начислена основа</w:t>
      </w:r>
      <w:r w:rsidRPr="009E3533">
        <w:t xml:space="preserve"> в рамките на Маастрихтските критерии</w:t>
      </w:r>
      <w:r>
        <w:t xml:space="preserve"> за гарантиране на устойчивост на публичните финанси.</w:t>
      </w:r>
    </w:p>
    <w:p w14:paraId="4C511663" w14:textId="68980778" w:rsidR="00BC5DF4" w:rsidRDefault="00BC5DF4" w:rsidP="00BC5DF4">
      <w:pPr>
        <w:spacing w:after="120"/>
        <w:jc w:val="both"/>
      </w:pPr>
    </w:p>
    <w:p w14:paraId="5DD4BC57" w14:textId="77777777" w:rsidR="00BC5DF4" w:rsidRPr="009C0C5C" w:rsidRDefault="00BC5DF4" w:rsidP="00BC5DF4">
      <w:pPr>
        <w:spacing w:after="120"/>
        <w:jc w:val="both"/>
        <w:rPr>
          <w:b/>
          <w:i/>
          <w:color w:val="000000" w:themeColor="text1"/>
        </w:rPr>
      </w:pPr>
      <w:r w:rsidRPr="009C0C5C">
        <w:rPr>
          <w:b/>
          <w:i/>
          <w:color w:val="000000" w:themeColor="text1"/>
        </w:rPr>
        <w:t>Фискални развития</w:t>
      </w:r>
    </w:p>
    <w:p w14:paraId="15075430" w14:textId="77777777" w:rsidR="005162DB" w:rsidRPr="009C0C5C" w:rsidRDefault="005162DB" w:rsidP="005162DB">
      <w:pPr>
        <w:spacing w:after="120"/>
        <w:jc w:val="both"/>
      </w:pPr>
      <w:r w:rsidRPr="009C0C5C">
        <w:t xml:space="preserve">Фискалните развития през 2023 г. бяха доминирани от множество фактори, влияещи разнопосочно върху бюджетните показатели. Върху фиска продължиха да оказват влияние </w:t>
      </w:r>
      <w:r w:rsidRPr="005162DB">
        <w:t>волатилните цени на международните пазари на суровини и енергоносители, нарушените вериги за доставка и наложените санкции поради войната в Украйна. Ситуацията през 2023 година обаче е значително променена – за разлика от шоковото нарастване на цената на енергоносителите и в частност на нефта и природния газ на международните пазари непосредствено след избухването на войната, през първите седем месеца на 2023 година се наблюдаваше значително поевтиняване</w:t>
      </w:r>
      <w:r w:rsidRPr="009C0C5C">
        <w:t xml:space="preserve"> и завръщане на цените до предвоенните им нива при много от енергоносителите и суровините, което съответно се отрази и върху приходите при облагането при внос и върху данъчната основа при сделки </w:t>
      </w:r>
      <w:r>
        <w:t xml:space="preserve">в страната и </w:t>
      </w:r>
      <w:r w:rsidRPr="009C0C5C">
        <w:t xml:space="preserve">при вътреобщностни придобивания. Подобна е и тенденцията при цените на природния газ и електрическата енергия на регионалните борси. </w:t>
      </w:r>
    </w:p>
    <w:p w14:paraId="4A305868" w14:textId="2EE0F907" w:rsidR="00BC5DF4" w:rsidRDefault="00B51D39" w:rsidP="005162DB">
      <w:pPr>
        <w:spacing w:after="120"/>
        <w:jc w:val="both"/>
        <w:rPr>
          <w:color w:val="365F91" w:themeColor="accent1" w:themeShade="BF"/>
        </w:rPr>
      </w:pPr>
      <w:r w:rsidRPr="00D459FC">
        <w:t>Приходите, помощите и даренията по КФП към декември 2023 г. са в размер на 67,1 млрд. лв. и нарастват номинално с 2,3 млрд. лв. спрямо отчетените за 2022 г., за което основен принос имат данъчните приходи. Приходите, помощите и даренията по КФП са по-ниски от планираните с разчетите към ЗДБРБ за 2023 г.</w:t>
      </w:r>
      <w:r>
        <w:t xml:space="preserve"> главно</w:t>
      </w:r>
      <w:r w:rsidRPr="00D459FC">
        <w:t xml:space="preserve"> поради забавянето на вторият транш за България по Плана за възстановяване и устойчивост, който се очаква да постъпи през 2024 г</w:t>
      </w:r>
      <w:r>
        <w:t>одина</w:t>
      </w:r>
      <w:r w:rsidR="00BC5DF4">
        <w:rPr>
          <w:rFonts w:eastAsia="Calibri"/>
        </w:rPr>
        <w:t>.</w:t>
      </w:r>
    </w:p>
    <w:p w14:paraId="3BBC57F6" w14:textId="77777777" w:rsidR="00BC5DF4" w:rsidRPr="009C0C5C" w:rsidRDefault="00BC5DF4" w:rsidP="00BC5DF4">
      <w:pPr>
        <w:spacing w:after="120"/>
        <w:jc w:val="both"/>
      </w:pPr>
      <w:r w:rsidRPr="009C0C5C">
        <w:t>Параметрите по изпълнението на приходите по КФП при основните данъци</w:t>
      </w:r>
      <w:r>
        <w:t xml:space="preserve"> и осигурителни вноски са добри, като данъчните приходи нарастват номинално с 11,8 на сто (5,5 млрд. лв.) спрямо 2022 г. Постъпленията в групата са в размер на 52,3 млрд. лв., като съпоставено с плана за годината повечето данъци и осигурителни вноски отчитат превишение на разчетите към ЗДБРБ за 2023 г.,</w:t>
      </w:r>
      <w:r w:rsidRPr="009C0C5C">
        <w:t xml:space="preserve"> с изключение на приходите от ДДС от внос и в по-малка степен от корпоративните данъци</w:t>
      </w:r>
      <w:r>
        <w:t xml:space="preserve"> и мита</w:t>
      </w:r>
      <w:r w:rsidRPr="009C0C5C">
        <w:t xml:space="preserve">. </w:t>
      </w:r>
      <w:r>
        <w:t xml:space="preserve">Поради забавянето при тези данъци общите приходи в групата на данъчно-осигурителните приходи представляват 98,4 на сто от разчета за годината. </w:t>
      </w:r>
      <w:r w:rsidRPr="009C0C5C">
        <w:t xml:space="preserve">Най-осезаемо забавяне спрямо годишния план </w:t>
      </w:r>
      <w:r>
        <w:t>има</w:t>
      </w:r>
      <w:r w:rsidRPr="009C0C5C">
        <w:t xml:space="preserve"> при приходите от ДДС от внос, където негативно влияние върху динамиката на приходите от този данък продължават да оказват средните борсови цени (в долари) на суровините, които формират основна част от вноса от трети страни. </w:t>
      </w:r>
      <w:r w:rsidRPr="00800362">
        <w:t xml:space="preserve">Разглеждайки декларирания ДДС при внос по групи стоки, съобразно Класификатора на широките </w:t>
      </w:r>
      <w:r w:rsidRPr="00AA7546">
        <w:t>икономически категории (</w:t>
      </w:r>
      <w:r w:rsidRPr="00AA7546">
        <w:rPr>
          <w:lang w:val="en-US"/>
        </w:rPr>
        <w:t>BEC</w:t>
      </w:r>
      <w:r w:rsidRPr="00AA7546">
        <w:t xml:space="preserve">), през 2023 г. се наблюдава понижение при всички групи стоки. Върху постъпленията от ДДС от внос влияние оказва и възможността </w:t>
      </w:r>
      <w:r w:rsidRPr="00AA7546">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AA7546">
        <w:rPr>
          <w:iCs/>
          <w:color w:val="0070C0"/>
        </w:rPr>
        <w:t>.</w:t>
      </w:r>
      <w:r w:rsidRPr="001050E8">
        <w:rPr>
          <w:bCs/>
          <w:color w:val="0070C0"/>
        </w:rPr>
        <w:t xml:space="preserve"> </w:t>
      </w:r>
      <w:r w:rsidRPr="009C0C5C">
        <w:t>Поради тези фактори постъпленията в частта на косвените данъци остана</w:t>
      </w:r>
      <w:r>
        <w:t>ха с около 650</w:t>
      </w:r>
      <w:r w:rsidRPr="009C0C5C">
        <w:t xml:space="preserve"> </w:t>
      </w:r>
      <w:r>
        <w:t>млн</w:t>
      </w:r>
      <w:r w:rsidRPr="009C0C5C">
        <w:t>. лв. под заложените с разчетите по</w:t>
      </w:r>
      <w:r>
        <w:t xml:space="preserve"> ЗДБРБ за 2023 г., като постъпленията в групата представляват 97,2 на сто от плана за годината. </w:t>
      </w:r>
      <w:r w:rsidRPr="009C0C5C">
        <w:t xml:space="preserve">При преките </w:t>
      </w:r>
      <w:r>
        <w:t>данъци се отчита преизпълнение на</w:t>
      </w:r>
      <w:r w:rsidRPr="009C0C5C">
        <w:t xml:space="preserve"> разчетите при данъците върху доходите на физическите лица, което компенсира </w:t>
      </w:r>
      <w:r>
        <w:t xml:space="preserve">частично </w:t>
      </w:r>
      <w:r w:rsidRPr="009C0C5C">
        <w:t>неизпълнение</w:t>
      </w:r>
      <w:r>
        <w:t>то</w:t>
      </w:r>
      <w:r w:rsidRPr="009C0C5C">
        <w:t xml:space="preserve"> на разчетите за приходите от корпоративни данъци, с което приходите в групата </w:t>
      </w:r>
      <w:r>
        <w:t>са с около 418 млн. лв. по-ниски от разчетените със ЗДБРБ за 2023 г., или 96,4 на сто изпълнение на плана за годината</w:t>
      </w:r>
      <w:r w:rsidRPr="009C0C5C">
        <w:t xml:space="preserve">. Приходите от осигурителни вноски също </w:t>
      </w:r>
      <w:r>
        <w:t>отчитат минимално превишение на</w:t>
      </w:r>
      <w:r w:rsidRPr="009C0C5C">
        <w:t xml:space="preserve"> план</w:t>
      </w:r>
      <w:r>
        <w:t xml:space="preserve">а </w:t>
      </w:r>
      <w:r w:rsidRPr="009C0C5C">
        <w:t>за годината</w:t>
      </w:r>
      <w:r>
        <w:t xml:space="preserve"> (101,0 на сто)</w:t>
      </w:r>
      <w:r w:rsidRPr="009C0C5C">
        <w:t>, докато при дру</w:t>
      </w:r>
      <w:r>
        <w:t>гите данъци се отчита преизпълнение</w:t>
      </w:r>
      <w:r w:rsidRPr="009C0C5C">
        <w:t xml:space="preserve"> на плана за годината</w:t>
      </w:r>
      <w:r>
        <w:t xml:space="preserve"> (102,6 на сто)</w:t>
      </w:r>
      <w:r w:rsidRPr="009C0C5C">
        <w:t>, основно поради удължения срок за внасяне на целеви вноски по бюджета на Фонд „Сигурност на електроенергийната система“ от производителите на електрическа енергия и други мерки в данъчната политика.</w:t>
      </w:r>
      <w:r>
        <w:t xml:space="preserve"> </w:t>
      </w:r>
    </w:p>
    <w:p w14:paraId="43874B76" w14:textId="684CF735" w:rsidR="00BC5DF4" w:rsidRPr="005509CF" w:rsidRDefault="00BC5DF4" w:rsidP="00BC5DF4">
      <w:pPr>
        <w:spacing w:after="120"/>
        <w:jc w:val="both"/>
        <w:rPr>
          <w:color w:val="000000" w:themeColor="text1"/>
        </w:rPr>
      </w:pPr>
      <w:r w:rsidRPr="00812F87">
        <w:rPr>
          <w:color w:val="000000" w:themeColor="text1"/>
        </w:rPr>
        <w:t xml:space="preserve">Неданъчните приходи са в размер на </w:t>
      </w:r>
      <w:r w:rsidR="00C672EC">
        <w:rPr>
          <w:color w:val="000000" w:themeColor="text1"/>
          <w:lang w:val="en-US"/>
        </w:rPr>
        <w:t>10</w:t>
      </w:r>
      <w:r w:rsidR="00A05CC4">
        <w:rPr>
          <w:color w:val="000000" w:themeColor="text1"/>
        </w:rPr>
        <w:t>,9</w:t>
      </w:r>
      <w:r w:rsidRPr="00812F87">
        <w:rPr>
          <w:color w:val="000000" w:themeColor="text1"/>
        </w:rPr>
        <w:t xml:space="preserve"> млрд. лв. (97,</w:t>
      </w:r>
      <w:r w:rsidR="00A05CC4">
        <w:rPr>
          <w:color w:val="000000" w:themeColor="text1"/>
        </w:rPr>
        <w:t>8</w:t>
      </w:r>
      <w:r w:rsidRPr="00812F87">
        <w:rPr>
          <w:color w:val="000000" w:themeColor="text1"/>
        </w:rPr>
        <w:t xml:space="preserve"> на сто изпълнение на разчета към ЗДБРБ за 2023 г.) и се формират основно от приходи от държавни, общински и съдебни такси, приходи и доходи от собственост, вкл. вноски от приходи от държавни и общински предприятия, приходи от концесии, приходи от продажба на квоти за емисии на парникови газове и други. При </w:t>
      </w:r>
      <w:r>
        <w:rPr>
          <w:color w:val="000000" w:themeColor="text1"/>
        </w:rPr>
        <w:t xml:space="preserve">съпоставката на постъпленията в частта на неданъчните приходи с отчетените за 2022 г. </w:t>
      </w:r>
      <w:r w:rsidR="00B53D9F" w:rsidRPr="00B53D9F">
        <w:rPr>
          <w:color w:val="000000" w:themeColor="text1"/>
        </w:rPr>
        <w:t xml:space="preserve">(12 млрд. лв.) </w:t>
      </w:r>
      <w:r>
        <w:rPr>
          <w:color w:val="000000" w:themeColor="text1"/>
        </w:rPr>
        <w:t xml:space="preserve">следва да се отчете ефекта от действието на различна нормативна база за част от постъпленията през двете години. </w:t>
      </w:r>
      <w:r w:rsidR="003A32BB" w:rsidRPr="005509CF">
        <w:rPr>
          <w:color w:val="000000" w:themeColor="text1"/>
        </w:rPr>
        <w:t>За периода юли</w:t>
      </w:r>
      <w:r w:rsidR="003A32BB">
        <w:rPr>
          <w:color w:val="000000" w:themeColor="text1"/>
          <w:lang w:val="en-US"/>
        </w:rPr>
        <w:t> </w:t>
      </w:r>
      <w:r w:rsidR="003A32BB" w:rsidRPr="005509CF">
        <w:rPr>
          <w:color w:val="000000" w:themeColor="text1"/>
        </w:rPr>
        <w:t>–</w:t>
      </w:r>
      <w:r w:rsidR="003A32BB">
        <w:rPr>
          <w:color w:val="000000" w:themeColor="text1"/>
          <w:lang w:val="en-US"/>
        </w:rPr>
        <w:t> </w:t>
      </w:r>
      <w:r w:rsidR="003A32BB" w:rsidRPr="005509CF">
        <w:rPr>
          <w:color w:val="000000" w:themeColor="text1"/>
        </w:rPr>
        <w:t xml:space="preserve">декември 2022 г. в изпълнение на разпоредбата на §24 от ПЗР на ЗДБРБ за 2022 г. в частта на неданъчните приходи по бюджета на ФСЕС постъпиха целеви вноски в размер на 3,2 млрд. лв., с които се финансира изплащането на компенсации към небитовите крайни клиенти на електрическа енергия по §23 от ПЗР на ЗДБРБ за 2022 г. </w:t>
      </w:r>
      <w:r w:rsidR="003A32BB">
        <w:rPr>
          <w:color w:val="000000" w:themeColor="text1"/>
        </w:rPr>
        <w:t xml:space="preserve">отчетени </w:t>
      </w:r>
      <w:r w:rsidR="003A32BB" w:rsidRPr="005509CF">
        <w:rPr>
          <w:color w:val="000000" w:themeColor="text1"/>
        </w:rPr>
        <w:t>в разходите за субсидии за нефинансови предприятия. Към края на декември 2022 г. постъпленията, респективно разходите, бяха в размер на 3,2 млрд. лв.</w:t>
      </w:r>
      <w:r w:rsidR="003A32BB">
        <w:rPr>
          <w:color w:val="000000" w:themeColor="text1"/>
        </w:rPr>
        <w:t xml:space="preserve"> Поради това</w:t>
      </w:r>
      <w:r w:rsidR="003A32BB" w:rsidRPr="005509CF">
        <w:rPr>
          <w:color w:val="000000" w:themeColor="text1"/>
        </w:rPr>
        <w:t xml:space="preserve">, при съпоставката </w:t>
      </w:r>
      <w:r w:rsidR="003A32BB">
        <w:rPr>
          <w:color w:val="000000" w:themeColor="text1"/>
        </w:rPr>
        <w:t xml:space="preserve">на 2023 г. </w:t>
      </w:r>
      <w:r w:rsidR="003A32BB" w:rsidRPr="005509CF">
        <w:rPr>
          <w:color w:val="000000" w:themeColor="text1"/>
        </w:rPr>
        <w:t>с предходната година в частта на неданъчните приходи и разходите за субсидии за нефинансови предприятия следва да се отчете базов ефект от действащото законодателство през 2022 г. и 2023</w:t>
      </w:r>
      <w:r w:rsidR="003A32BB">
        <w:rPr>
          <w:color w:val="000000" w:themeColor="text1"/>
        </w:rPr>
        <w:t> </w:t>
      </w:r>
      <w:r w:rsidR="003A32BB" w:rsidRPr="005509CF">
        <w:rPr>
          <w:color w:val="000000" w:themeColor="text1"/>
        </w:rPr>
        <w:t>г</w:t>
      </w:r>
      <w:r w:rsidRPr="005509CF">
        <w:rPr>
          <w:color w:val="000000" w:themeColor="text1"/>
        </w:rPr>
        <w:t xml:space="preserve">.  </w:t>
      </w:r>
    </w:p>
    <w:p w14:paraId="3866D891" w14:textId="3CB037AB" w:rsidR="00BC5DF4" w:rsidRPr="00075328" w:rsidRDefault="00BC5DF4" w:rsidP="00BC5DF4">
      <w:pPr>
        <w:spacing w:after="120"/>
        <w:jc w:val="both"/>
        <w:rPr>
          <w:color w:val="000000" w:themeColor="text1"/>
        </w:rPr>
      </w:pPr>
      <w:r w:rsidRPr="00C44739">
        <w:rPr>
          <w:color w:val="000000" w:themeColor="text1"/>
        </w:rPr>
        <w:t>Постъпленията в частта на помощите и даренията са по-ниски от разчетените със ЗДБРБ за 2023</w:t>
      </w:r>
      <w:r w:rsidR="0013684B">
        <w:rPr>
          <w:color w:val="000000" w:themeColor="text1"/>
        </w:rPr>
        <w:t> </w:t>
      </w:r>
      <w:r w:rsidRPr="00C44739">
        <w:rPr>
          <w:color w:val="000000" w:themeColor="text1"/>
        </w:rPr>
        <w:t>г. с 1,3 млрд. лв., което се дължи на изместването на второто плащане по Плана за възстановяване и устойчивост за 2024 г.</w:t>
      </w:r>
      <w:r>
        <w:rPr>
          <w:color w:val="000000" w:themeColor="text1"/>
          <w:lang w:val="en-US"/>
        </w:rPr>
        <w:t xml:space="preserve"> </w:t>
      </w:r>
    </w:p>
    <w:p w14:paraId="5C8EFF53" w14:textId="25FBC6D1" w:rsidR="00BC5DF4" w:rsidRPr="003F20FB" w:rsidRDefault="00D12087" w:rsidP="00BC5DF4">
      <w:pPr>
        <w:spacing w:after="120"/>
        <w:jc w:val="both"/>
        <w:rPr>
          <w:color w:val="000000" w:themeColor="text1"/>
        </w:rPr>
      </w:pPr>
      <w:r>
        <w:rPr>
          <w:color w:val="000000" w:themeColor="text1"/>
        </w:rPr>
        <w:t>При</w:t>
      </w:r>
      <w:r w:rsidR="00BC5DF4" w:rsidRPr="003F20FB">
        <w:rPr>
          <w:color w:val="000000" w:themeColor="text1"/>
        </w:rPr>
        <w:t xml:space="preserve"> разходите се отчита по-слабо от планираното усвояване на разходите, основно по държавния бюджет, като следва да се отбележи, че то се дължи на по-ниско усвояване на текущите разходи</w:t>
      </w:r>
      <w:r w:rsidR="00BC5DF4">
        <w:rPr>
          <w:color w:val="000000" w:themeColor="text1"/>
        </w:rPr>
        <w:t xml:space="preserve"> (основно разходи за субсидии, издръжка и други)</w:t>
      </w:r>
      <w:r w:rsidR="00BC5DF4" w:rsidRPr="003F20FB">
        <w:rPr>
          <w:color w:val="000000" w:themeColor="text1"/>
        </w:rPr>
        <w:t xml:space="preserve">, докато капиталовите разходи и </w:t>
      </w:r>
      <w:r w:rsidR="008445F9">
        <w:rPr>
          <w:color w:val="000000" w:themeColor="text1"/>
        </w:rPr>
        <w:t>капиталови</w:t>
      </w:r>
      <w:r w:rsidR="002A75E8">
        <w:rPr>
          <w:color w:val="000000" w:themeColor="text1"/>
        </w:rPr>
        <w:t>те</w:t>
      </w:r>
      <w:r w:rsidR="008445F9">
        <w:rPr>
          <w:color w:val="000000" w:themeColor="text1"/>
        </w:rPr>
        <w:t xml:space="preserve"> </w:t>
      </w:r>
      <w:r w:rsidR="00BC5DF4" w:rsidRPr="003F20FB">
        <w:rPr>
          <w:color w:val="000000" w:themeColor="text1"/>
        </w:rPr>
        <w:t xml:space="preserve">трансфери надвишават разчета за годината. </w:t>
      </w:r>
      <w:r w:rsidR="00BC5DF4">
        <w:rPr>
          <w:color w:val="000000" w:themeColor="text1"/>
        </w:rPr>
        <w:t>Значителен ръст на разходите съпоставено с предходната година (повече от 60 на сто) се отчита по сметките за средства от ЕС, което е свързано с</w:t>
      </w:r>
      <w:r w:rsidR="00BC5DF4">
        <w:rPr>
          <w:bCs/>
        </w:rPr>
        <w:t xml:space="preserve"> по-високите разходи във връзка с приключването на проектите за програмния период 2014-2020 г. С</w:t>
      </w:r>
      <w:r w:rsidR="00BC5DF4" w:rsidRPr="00227623">
        <w:rPr>
          <w:bCs/>
        </w:rPr>
        <w:t>ъгласно чл.65 от Регламент (ЕС) № 1303/2013 на Европейския парламент и Съвета (Регламента) крайният срок, в който бенефициентите по оперативните програми, финансирани от Европейските структур</w:t>
      </w:r>
      <w:r w:rsidR="00BC5DF4">
        <w:rPr>
          <w:bCs/>
        </w:rPr>
        <w:t>ни и инвестиционни фондове за програмния период</w:t>
      </w:r>
      <w:r w:rsidR="00BC5DF4" w:rsidRPr="00227623">
        <w:rPr>
          <w:bCs/>
        </w:rPr>
        <w:t xml:space="preserve"> 2014-2020, </w:t>
      </w:r>
      <w:r w:rsidR="00BC5DF4">
        <w:rPr>
          <w:bCs/>
        </w:rPr>
        <w:t>можеха</w:t>
      </w:r>
      <w:r w:rsidR="00BC5DF4" w:rsidRPr="00227623">
        <w:rPr>
          <w:bCs/>
        </w:rPr>
        <w:t xml:space="preserve"> да извършат разходите по изпълняваните от тях проекти </w:t>
      </w:r>
      <w:r w:rsidR="00BC5DF4">
        <w:rPr>
          <w:bCs/>
        </w:rPr>
        <w:t>б</w:t>
      </w:r>
      <w:r w:rsidR="00BC5DF4" w:rsidRPr="00227623">
        <w:rPr>
          <w:bCs/>
        </w:rPr>
        <w:t xml:space="preserve">е 31.12.2023 г. </w:t>
      </w:r>
      <w:r w:rsidR="00BC5DF4">
        <w:rPr>
          <w:bCs/>
        </w:rPr>
        <w:t>Това</w:t>
      </w:r>
      <w:r w:rsidR="00BC5DF4" w:rsidRPr="00227623">
        <w:rPr>
          <w:bCs/>
        </w:rPr>
        <w:t xml:space="preserve"> е</w:t>
      </w:r>
      <w:r w:rsidR="00BC5DF4">
        <w:rPr>
          <w:bCs/>
        </w:rPr>
        <w:t xml:space="preserve"> и</w:t>
      </w:r>
      <w:r w:rsidR="00BC5DF4" w:rsidRPr="00227623">
        <w:rPr>
          <w:bCs/>
        </w:rPr>
        <w:t xml:space="preserve"> причина за извършване на значителен обем разплащания през втората половина на 2023 г. и особено в края 2023 г. С цел усвояване на средства по програмите и успешно приключване на проектите бенефициентите положиха огромни усилия да бъдат своевременно извършени всички разходи по изпълняваните от тях проекти, а Управляващите органи да верифицират и предоставят (разплатят) договорената безвъзмездна финансова подкрепа към бенеф</w:t>
      </w:r>
      <w:r w:rsidR="00535E7A">
        <w:rPr>
          <w:bCs/>
        </w:rPr>
        <w:t>и</w:t>
      </w:r>
      <w:r w:rsidR="00BC5DF4" w:rsidRPr="00227623">
        <w:rPr>
          <w:bCs/>
        </w:rPr>
        <w:t>циентите.</w:t>
      </w:r>
      <w:r w:rsidR="00BC5DF4">
        <w:rPr>
          <w:bCs/>
        </w:rPr>
        <w:t xml:space="preserve"> Именно високият ръст на капиталовите разходи по сметките за средства от ЕС, подкрепен и от нарастването на инвестиционните разходи по държавния бюджет и бюджетите на общините, е причината за значителния ръст при капиталовите разходи на консолидирано ниво спрямо предходната година от над 60 на сто.</w:t>
      </w:r>
    </w:p>
    <w:p w14:paraId="74E60C62" w14:textId="26DD9865" w:rsidR="00BC5DF4" w:rsidRPr="00485B7E" w:rsidRDefault="00BC5DF4" w:rsidP="00BC5DF4">
      <w:pPr>
        <w:spacing w:after="120"/>
        <w:jc w:val="both"/>
        <w:rPr>
          <w:color w:val="000000" w:themeColor="text1"/>
        </w:rPr>
      </w:pPr>
      <w:r w:rsidRPr="00485B7E">
        <w:rPr>
          <w:color w:val="000000" w:themeColor="text1"/>
        </w:rPr>
        <w:t>Разходите по КФП (вкл. вноската на Република България в бюджета на ЕС) за 2023 г. са в размер на 72,</w:t>
      </w:r>
      <w:r w:rsidR="004E6F2E">
        <w:rPr>
          <w:color w:val="000000" w:themeColor="text1"/>
        </w:rPr>
        <w:t>7</w:t>
      </w:r>
      <w:r w:rsidRPr="00485B7E">
        <w:rPr>
          <w:color w:val="000000" w:themeColor="text1"/>
        </w:rPr>
        <w:t xml:space="preserve"> млрд. лв., което представлява 98,1 % от планираните с разчетите към ЗДБРБ за 2023 г. При отделните елементи на разходите забавяне при усвояването на </w:t>
      </w:r>
      <w:r>
        <w:rPr>
          <w:color w:val="000000" w:themeColor="text1"/>
        </w:rPr>
        <w:t>разчетите</w:t>
      </w:r>
      <w:r w:rsidRPr="00485B7E">
        <w:rPr>
          <w:color w:val="000000" w:themeColor="text1"/>
        </w:rPr>
        <w:t xml:space="preserve"> се отчита при разходите за издръжка, разходите за субсидии за нефинансови предприятия</w:t>
      </w:r>
      <w:r w:rsidR="00A11ED6">
        <w:rPr>
          <w:color w:val="000000" w:themeColor="text1"/>
        </w:rPr>
        <w:t xml:space="preserve"> </w:t>
      </w:r>
      <w:r w:rsidRPr="00485B7E">
        <w:rPr>
          <w:color w:val="000000" w:themeColor="text1"/>
        </w:rPr>
        <w:t xml:space="preserve">и други. За разлика от 2022 г., когато високите цени на електрическата енергия, търгувана извън регулирания пазар и одобрените програми за изплащане на компенсации към бизнеса доведоха до значително увеличение на изплатените субсидии за нефинансови предприятия, през по-голямата част </w:t>
      </w:r>
      <w:r w:rsidR="00260639">
        <w:rPr>
          <w:color w:val="000000" w:themeColor="text1"/>
        </w:rPr>
        <w:t>на</w:t>
      </w:r>
      <w:r w:rsidRPr="00485B7E">
        <w:rPr>
          <w:color w:val="000000" w:themeColor="text1"/>
        </w:rPr>
        <w:t xml:space="preserve"> 2023</w:t>
      </w:r>
      <w:r w:rsidR="0013684B">
        <w:rPr>
          <w:color w:val="000000" w:themeColor="text1"/>
        </w:rPr>
        <w:t> </w:t>
      </w:r>
      <w:r w:rsidRPr="00485B7E">
        <w:rPr>
          <w:color w:val="000000" w:themeColor="text1"/>
        </w:rPr>
        <w:t>г. цените на електрическата енергия на сегмента ден напред на Българската независима енергийна борса остана под законово</w:t>
      </w:r>
      <w:r w:rsidR="00241E93">
        <w:rPr>
          <w:color w:val="000000" w:themeColor="text1"/>
        </w:rPr>
        <w:t xml:space="preserve"> </w:t>
      </w:r>
      <w:r w:rsidR="001C7418">
        <w:rPr>
          <w:color w:val="000000" w:themeColor="text1"/>
        </w:rPr>
        <w:t>регламентирания</w:t>
      </w:r>
      <w:r w:rsidRPr="00485B7E">
        <w:rPr>
          <w:color w:val="000000" w:themeColor="text1"/>
        </w:rPr>
        <w:t xml:space="preserve"> праг от 200 лева на мегават час за изплащане на компенсации, което доведе до значително свиване на разходите за субсидии. Освен това бяха отчетени и по-ниски от планираните разходи за издръжка в редица разпоредители с бюджет по държавния бюджет, с което салдото по държавния бюджет отчете подобрение спрямо заложеното в ЗДБРБ за 2023 г.</w:t>
      </w:r>
      <w:bookmarkEnd w:id="0"/>
    </w:p>
    <w:p w14:paraId="27F9CB01" w14:textId="77777777" w:rsidR="00FC6222" w:rsidRPr="00D56089" w:rsidRDefault="00FC6222" w:rsidP="00FC6222">
      <w:pPr>
        <w:autoSpaceDE w:val="0"/>
        <w:autoSpaceDN w:val="0"/>
        <w:adjustRightInd w:val="0"/>
        <w:spacing w:after="120"/>
        <w:jc w:val="both"/>
        <w:rPr>
          <w:color w:val="4F81BD" w:themeColor="accent1"/>
        </w:rPr>
      </w:pPr>
    </w:p>
    <w:p w14:paraId="0A028753" w14:textId="77777777" w:rsidR="005024E0" w:rsidRPr="00DE25D7" w:rsidRDefault="00BC5FC4" w:rsidP="005024E0">
      <w:pPr>
        <w:pStyle w:val="Heading1"/>
        <w:spacing w:before="240"/>
        <w:ind w:left="142" w:right="-108"/>
        <w:jc w:val="both"/>
        <w:rPr>
          <w:sz w:val="24"/>
        </w:rPr>
      </w:pPr>
      <w:r w:rsidRPr="00DE25D7">
        <w:rPr>
          <w:sz w:val="24"/>
        </w:rPr>
        <w:t>Информация за разходите за хуманитарна помощ, както и за справяне с последствията във връзка с военните действия в Украйна</w:t>
      </w:r>
    </w:p>
    <w:p w14:paraId="48D670D2" w14:textId="77777777" w:rsidR="00DE25D7" w:rsidRPr="00DE25D7" w:rsidRDefault="00DE25D7" w:rsidP="00DE25D7">
      <w:pPr>
        <w:spacing w:before="120"/>
        <w:jc w:val="both"/>
        <w:rPr>
          <w:bCs/>
          <w:color w:val="5B9BD5"/>
          <w:lang w:eastAsia="bg-BG"/>
        </w:rPr>
      </w:pPr>
      <w:r w:rsidRPr="00DE25D7">
        <w:rPr>
          <w:lang w:eastAsia="bg-BG"/>
        </w:rPr>
        <w:t>Отчетените от ПРБ разходи към 3</w:t>
      </w:r>
      <w:r w:rsidRPr="00DE25D7">
        <w:rPr>
          <w:lang w:val="en-US" w:eastAsia="bg-BG"/>
        </w:rPr>
        <w:t>1</w:t>
      </w:r>
      <w:r w:rsidRPr="00DE25D7">
        <w:rPr>
          <w:lang w:eastAsia="bg-BG"/>
        </w:rPr>
        <w:t>.</w:t>
      </w:r>
      <w:r w:rsidRPr="00DE25D7">
        <w:rPr>
          <w:lang w:val="en-US" w:eastAsia="bg-BG"/>
        </w:rPr>
        <w:t>12</w:t>
      </w:r>
      <w:r w:rsidRPr="00DE25D7">
        <w:rPr>
          <w:lang w:eastAsia="bg-BG"/>
        </w:rPr>
        <w:t>.2023 г. по бюджетите им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 са в размер на 4</w:t>
      </w:r>
      <w:r w:rsidRPr="00DE25D7">
        <w:rPr>
          <w:lang w:val="en-US" w:eastAsia="bg-BG"/>
        </w:rPr>
        <w:t>88</w:t>
      </w:r>
      <w:r w:rsidRPr="00DE25D7">
        <w:rPr>
          <w:lang w:eastAsia="bg-BG"/>
        </w:rPr>
        <w:t>,</w:t>
      </w:r>
      <w:r w:rsidRPr="00DE25D7">
        <w:rPr>
          <w:lang w:val="en-US" w:eastAsia="bg-BG"/>
        </w:rPr>
        <w:t>1</w:t>
      </w:r>
      <w:r w:rsidRPr="00DE25D7">
        <w:rPr>
          <w:lang w:eastAsia="bg-BG"/>
        </w:rPr>
        <w:t xml:space="preserve"> млн.</w:t>
      </w:r>
      <w:r w:rsidRPr="00DE25D7">
        <w:rPr>
          <w:bCs/>
          <w:lang w:eastAsia="bg-BG"/>
        </w:rPr>
        <w:t xml:space="preserve"> лв. за сметка на националния бюджет и </w:t>
      </w:r>
      <w:r w:rsidRPr="00DE25D7">
        <w:rPr>
          <w:bCs/>
          <w:lang w:val="en-US" w:eastAsia="bg-BG"/>
        </w:rPr>
        <w:t>27</w:t>
      </w:r>
      <w:r w:rsidRPr="00DE25D7">
        <w:rPr>
          <w:bCs/>
          <w:lang w:eastAsia="bg-BG"/>
        </w:rPr>
        <w:t>,</w:t>
      </w:r>
      <w:r w:rsidRPr="00DE25D7">
        <w:rPr>
          <w:bCs/>
          <w:lang w:val="en-US" w:eastAsia="bg-BG"/>
        </w:rPr>
        <w:t>6</w:t>
      </w:r>
      <w:r w:rsidRPr="00DE25D7">
        <w:rPr>
          <w:bCs/>
          <w:lang w:eastAsia="bg-BG"/>
        </w:rPr>
        <w:t xml:space="preserve"> млн. лв. за сметка на средства от ЕС. По бюджетите на общините отчетените разходи са в размер на 1,</w:t>
      </w:r>
      <w:r w:rsidRPr="00DE25D7">
        <w:rPr>
          <w:bCs/>
          <w:lang w:val="en-US" w:eastAsia="bg-BG"/>
        </w:rPr>
        <w:t>4</w:t>
      </w:r>
      <w:r w:rsidRPr="00DE25D7">
        <w:rPr>
          <w:bCs/>
          <w:lang w:eastAsia="bg-BG"/>
        </w:rPr>
        <w:t xml:space="preserve"> млн. лв., като това основно са разходи за справяне с последствията от военните действия срещу Украйна.</w:t>
      </w:r>
    </w:p>
    <w:p w14:paraId="65B2FBFB" w14:textId="77777777" w:rsidR="00DE25D7" w:rsidRPr="00DE25D7" w:rsidRDefault="00DE25D7" w:rsidP="00DE25D7">
      <w:pPr>
        <w:spacing w:before="120"/>
        <w:jc w:val="both"/>
        <w:rPr>
          <w:lang w:eastAsia="bg-BG"/>
        </w:rPr>
      </w:pPr>
      <w:r w:rsidRPr="00DE25D7">
        <w:rPr>
          <w:b/>
          <w:i/>
          <w:lang w:eastAsia="bg-BG"/>
        </w:rPr>
        <w:t>По програми за хуманитарна помощ за лица, търсещи временна закрила</w:t>
      </w:r>
      <w:r w:rsidRPr="00DE25D7">
        <w:rPr>
          <w:lang w:eastAsia="bg-BG"/>
        </w:rPr>
        <w:t xml:space="preserve"> </w:t>
      </w:r>
    </w:p>
    <w:p w14:paraId="1E79C844" w14:textId="7722ACEC" w:rsidR="00DE25D7" w:rsidRPr="00DE25D7" w:rsidRDefault="00DE25D7" w:rsidP="00DE25D7">
      <w:pPr>
        <w:jc w:val="both"/>
        <w:rPr>
          <w:color w:val="5B9BD5"/>
          <w:lang w:eastAsia="bg-BG"/>
        </w:rPr>
      </w:pPr>
      <w:r w:rsidRPr="00DE25D7">
        <w:rPr>
          <w:lang w:eastAsia="bg-BG"/>
        </w:rPr>
        <w:t>Разходите за хуманитарна помощ и за справяне с последствията от военните действия в Украйна към 3</w:t>
      </w:r>
      <w:r w:rsidRPr="00DE25D7">
        <w:rPr>
          <w:lang w:val="en-US" w:eastAsia="bg-BG"/>
        </w:rPr>
        <w:t>1</w:t>
      </w:r>
      <w:r w:rsidRPr="00DE25D7">
        <w:rPr>
          <w:lang w:eastAsia="bg-BG"/>
        </w:rPr>
        <w:t>.</w:t>
      </w:r>
      <w:r w:rsidRPr="00DE25D7">
        <w:rPr>
          <w:lang w:val="en-US" w:eastAsia="bg-BG"/>
        </w:rPr>
        <w:t>12</w:t>
      </w:r>
      <w:r w:rsidRPr="00DE25D7">
        <w:rPr>
          <w:lang w:eastAsia="bg-BG"/>
        </w:rPr>
        <w:t xml:space="preserve">.2023 г. по „Програма за хуманитарно подпомагане на разселени лица от Украйна с предоставена временна закрила в Република България“ възлизат в размер на </w:t>
      </w:r>
      <w:r w:rsidRPr="00DE25D7">
        <w:rPr>
          <w:b/>
          <w:lang w:val="en-US" w:eastAsia="bg-BG"/>
        </w:rPr>
        <w:t>56</w:t>
      </w:r>
      <w:r w:rsidRPr="00DE25D7">
        <w:rPr>
          <w:b/>
          <w:lang w:eastAsia="bg-BG"/>
        </w:rPr>
        <w:t>,</w:t>
      </w:r>
      <w:r w:rsidRPr="00DE25D7">
        <w:rPr>
          <w:b/>
          <w:lang w:val="en-US" w:eastAsia="bg-BG"/>
        </w:rPr>
        <w:t>2</w:t>
      </w:r>
      <w:r w:rsidRPr="00DE25D7">
        <w:rPr>
          <w:b/>
          <w:lang w:eastAsia="bg-BG"/>
        </w:rPr>
        <w:t xml:space="preserve"> млн.</w:t>
      </w:r>
      <w:r w:rsidRPr="00DE25D7">
        <w:rPr>
          <w:lang w:eastAsia="bg-BG"/>
        </w:rPr>
        <w:t xml:space="preserve"> лв. </w:t>
      </w:r>
      <w:r w:rsidRPr="00DE25D7">
        <w:t>като от тях: с ПМС № 484/</w:t>
      </w:r>
      <w:r w:rsidRPr="00DE25D7">
        <w:rPr>
          <w:lang w:val="en-US"/>
        </w:rPr>
        <w:t xml:space="preserve"> </w:t>
      </w:r>
      <w:r w:rsidRPr="00DE25D7">
        <w:t>2022 г. са одобрени допълнителни разходи по бюджета на Министерството на туризма за 2022 г. в размер на 37,6 млн. лв., с ПМС № 161/</w:t>
      </w:r>
      <w:r w:rsidRPr="00DE25D7">
        <w:rPr>
          <w:lang w:val="en-US"/>
        </w:rPr>
        <w:t xml:space="preserve"> </w:t>
      </w:r>
      <w:r w:rsidRPr="00DE25D7">
        <w:t>2023 г. са одобрени допълнителни разходи по бюджета на Министерството на туризма за 2023 г. в размер на 6,1 млн. лв. и с ПМС №</w:t>
      </w:r>
      <w:r w:rsidR="0013684B">
        <w:t> </w:t>
      </w:r>
      <w:r w:rsidRPr="00DE25D7">
        <w:t>247/</w:t>
      </w:r>
      <w:r w:rsidRPr="00DE25D7">
        <w:rPr>
          <w:lang w:val="en-US"/>
        </w:rPr>
        <w:t xml:space="preserve"> </w:t>
      </w:r>
      <w:r w:rsidRPr="00DE25D7">
        <w:t>2023 г. са одобрени допълнителни разходи по бюджета на Министерството на туризма за 2023 г. в размер на 11,8 млн. лв. за изпълнение на Програмата за хуманитарно подпомагане на разселени лица от Украйна с предоставена временна закрила в Република България.</w:t>
      </w:r>
      <w:r w:rsidRPr="00DE25D7">
        <w:rPr>
          <w:lang w:val="en-US"/>
        </w:rPr>
        <w:t xml:space="preserve"> </w:t>
      </w:r>
    </w:p>
    <w:p w14:paraId="4104AAC0" w14:textId="77777777" w:rsidR="00DE25D7" w:rsidRPr="00796DE6" w:rsidRDefault="00DE25D7" w:rsidP="00DE25D7">
      <w:pPr>
        <w:ind w:firstLine="708"/>
        <w:jc w:val="both"/>
        <w:rPr>
          <w:rFonts w:eastAsia="MS Minngs"/>
          <w:bCs/>
          <w:sz w:val="8"/>
        </w:rPr>
      </w:pPr>
    </w:p>
    <w:p w14:paraId="6B175D9E" w14:textId="77777777" w:rsidR="00DE25D7" w:rsidRPr="00DE25D7" w:rsidRDefault="00DE25D7" w:rsidP="00DE25D7">
      <w:pPr>
        <w:jc w:val="both"/>
        <w:rPr>
          <w:rFonts w:eastAsia="MS Minngs"/>
          <w:bCs/>
        </w:rPr>
      </w:pPr>
      <w:r w:rsidRPr="00DE25D7">
        <w:rPr>
          <w:rFonts w:eastAsia="MS Minngs"/>
          <w:bCs/>
        </w:rPr>
        <w:t>Изплатените средства по държавна</w:t>
      </w:r>
      <w:r w:rsidRPr="00DE25D7">
        <w:rPr>
          <w:rFonts w:eastAsia="MS Minngs"/>
          <w:bCs/>
          <w:lang w:val="en-US"/>
        </w:rPr>
        <w:t>та</w:t>
      </w:r>
      <w:r w:rsidRPr="00DE25D7">
        <w:rPr>
          <w:rFonts w:eastAsia="MS Minngs"/>
          <w:bCs/>
        </w:rPr>
        <w:t xml:space="preserve"> помощ </w:t>
      </w:r>
      <w:r w:rsidRPr="00DE25D7">
        <w:rPr>
          <w:rFonts w:eastAsia="MS Minngs"/>
          <w:b/>
          <w:bCs/>
          <w:i/>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DE25D7">
        <w:rPr>
          <w:rFonts w:eastAsia="MS Minngs"/>
          <w:bCs/>
        </w:rPr>
        <w:t xml:space="preserve"> разработена при спазване на правилата на Временната рамка за мерки за държавна помощ при кризи в подкрепа на икономиката след агресията на Русия срещу Украйна, са в общ размер на </w:t>
      </w:r>
      <w:r w:rsidRPr="00DE25D7">
        <w:rPr>
          <w:rFonts w:eastAsia="MS Minngs"/>
          <w:b/>
          <w:bCs/>
        </w:rPr>
        <w:t>426,2</w:t>
      </w:r>
      <w:r w:rsidRPr="00DE25D7">
        <w:rPr>
          <w:rFonts w:eastAsia="MS Minngs"/>
          <w:bCs/>
        </w:rPr>
        <w:t xml:space="preserve"> млн. лв., в т.ч.:</w:t>
      </w:r>
    </w:p>
    <w:p w14:paraId="7A6F5661" w14:textId="77777777" w:rsidR="00DE25D7" w:rsidRPr="00DE25D7" w:rsidRDefault="00DE25D7" w:rsidP="00DE25D7">
      <w:pPr>
        <w:numPr>
          <w:ilvl w:val="0"/>
          <w:numId w:val="36"/>
        </w:numPr>
        <w:tabs>
          <w:tab w:val="left" w:pos="993"/>
        </w:tabs>
        <w:ind w:left="0" w:firstLine="709"/>
        <w:contextualSpacing/>
        <w:jc w:val="both"/>
        <w:rPr>
          <w:rFonts w:eastAsia="MS Minngs"/>
          <w:bCs/>
        </w:rPr>
      </w:pPr>
      <w:r w:rsidRPr="00DE25D7">
        <w:rPr>
          <w:rFonts w:eastAsia="MS Minngs"/>
          <w:bCs/>
        </w:rPr>
        <w:t>„Помощ в подкрепа на ликвидността на земеделски стопани за преодоляване на негативното икономическо въздействие на руската агресия срещу Украйна“ за 2022 г. – 0,36 млн. лв., одобрени с Решение на Управителния съвет на ДФЗ /Протокол № 206 от 13.01.2023/. Изплатените средства към 31.12.2023 г. са 0,35 млн. лв.</w:t>
      </w:r>
    </w:p>
    <w:p w14:paraId="1C51BB4E" w14:textId="77777777" w:rsidR="00DE25D7" w:rsidRPr="00DE25D7" w:rsidRDefault="00DE25D7" w:rsidP="00DE25D7">
      <w:pPr>
        <w:numPr>
          <w:ilvl w:val="0"/>
          <w:numId w:val="36"/>
        </w:numPr>
        <w:tabs>
          <w:tab w:val="left" w:pos="993"/>
        </w:tabs>
        <w:ind w:left="0" w:firstLine="709"/>
        <w:contextualSpacing/>
        <w:jc w:val="both"/>
        <w:rPr>
          <w:rFonts w:eastAsia="MS Minngs"/>
          <w:bCs/>
        </w:rPr>
      </w:pPr>
      <w:r w:rsidRPr="00DE25D7">
        <w:rPr>
          <w:rFonts w:eastAsia="MS Minngs"/>
          <w:bCs/>
        </w:rPr>
        <w:t>„Помощ в подкрепа на ликвидността на земеделски стопани за преодоляване на негативното икономическо въздействие на руската агресия срещу Украйна“ за 2023 г. - 426 млн. лв., одобрени с РМС № 173/ 2023 г., ПМС №108/ 2023 г. и Решение на Управителния съвет на ДФЗ /Протокол № 209 от 27.03.2023 г./, ПМС №125/ 2023 г., ПМС № 155/ 2023 г. и Решение на Управителния съвет на ДФЗ /Протокол № 218 от 26.09.2023 г./. Изплатените средства към 31.12.2023 г. са 425,8 млн. лв.</w:t>
      </w:r>
    </w:p>
    <w:p w14:paraId="068B60C1" w14:textId="31257262" w:rsidR="00DE25D7" w:rsidRPr="00DE25D7" w:rsidRDefault="00DE25D7" w:rsidP="00DE25D7">
      <w:pPr>
        <w:spacing w:before="120" w:after="240"/>
        <w:jc w:val="both"/>
        <w:rPr>
          <w:b/>
          <w:i/>
          <w:lang w:eastAsia="bg-BG"/>
        </w:rPr>
      </w:pPr>
      <w:r w:rsidRPr="00DE25D7">
        <w:rPr>
          <w:b/>
          <w:i/>
          <w:lang w:eastAsia="bg-BG"/>
        </w:rPr>
        <w:t xml:space="preserve">Извънредно временно подпомагане за малки и средни предприятия, засегнати от последиците от руското нашествие в Украйна. </w:t>
      </w:r>
      <w:r w:rsidRPr="00DE25D7">
        <w:rPr>
          <w:lang w:eastAsia="bg-BG"/>
        </w:rPr>
        <w:t>В изпълнение на Наредба № 2 от 28.02.2023</w:t>
      </w:r>
      <w:r w:rsidR="00D3185C">
        <w:rPr>
          <w:lang w:eastAsia="bg-BG"/>
        </w:rPr>
        <w:t xml:space="preserve"> </w:t>
      </w:r>
      <w:r w:rsidRPr="00DE25D7">
        <w:rPr>
          <w:lang w:eastAsia="bg-BG"/>
        </w:rPr>
        <w:t>г. на Министерство на земеделието и храните, за прилагане на чл. 39в от Регламент (ЕС) №</w:t>
      </w:r>
      <w:r w:rsidR="00F21287">
        <w:rPr>
          <w:lang w:eastAsia="bg-BG"/>
        </w:rPr>
        <w:t> </w:t>
      </w:r>
      <w:r w:rsidRPr="00DE25D7">
        <w:rPr>
          <w:lang w:eastAsia="bg-BG"/>
        </w:rPr>
        <w:t>1305/2013 г. са изплатени 16,8 млн. лв. за сметка на средствата от Европейския съюз на Държавния фонд „Земеделие“.</w:t>
      </w:r>
    </w:p>
    <w:p w14:paraId="2C0B6F2E" w14:textId="65453F2D" w:rsidR="00DE25D7" w:rsidRPr="00DE25D7" w:rsidRDefault="00DE25D7" w:rsidP="00DE25D7">
      <w:pPr>
        <w:jc w:val="both"/>
        <w:rPr>
          <w:color w:val="5B9BD5"/>
        </w:rPr>
      </w:pPr>
      <w:r w:rsidRPr="00DE25D7">
        <w:rPr>
          <w:b/>
          <w:i/>
        </w:rPr>
        <w:t>В областта на социалната закрила</w:t>
      </w:r>
      <w:r w:rsidRPr="00DE25D7">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w:t>
      </w:r>
    </w:p>
    <w:p w14:paraId="4DB511D9" w14:textId="1E9E8504" w:rsidR="00DE25D7" w:rsidRPr="00DE25D7" w:rsidRDefault="00DE25D7" w:rsidP="00DE25D7">
      <w:pPr>
        <w:spacing w:before="120"/>
        <w:jc w:val="both"/>
      </w:pPr>
      <w:r w:rsidRPr="00DE25D7">
        <w:t xml:space="preserve">Към 31.12.2023 г. Министерството на труда и социалната политика отчита разходи в размер на 1,5 млн. лв. на сметка на бюджета и 10,8 млн. лв. средства от ЕС. За периода 01.01.2023 г. до 31.12.2023 г. са отчетени общо 1,5 млн. лв. социални разходи за отпуснати еднократни помощи </w:t>
      </w:r>
      <w:r w:rsidRPr="00DE25D7">
        <w:rPr>
          <w:bCs/>
        </w:rPr>
        <w:t xml:space="preserve">по реда на чл. 16 от Правилника за прилагане на Закона за социално подпомагане (ППЗСП) </w:t>
      </w:r>
      <w:r w:rsidRPr="00DE25D7">
        <w:t>на разселени от Украйна лица с предоставена временна закрила, до петкратния размер на гарантирания минимален доход (375 лв.). През 2023 г. са изплатени еднократни помощи на 4</w:t>
      </w:r>
      <w:r w:rsidR="00D3185C">
        <w:t> </w:t>
      </w:r>
      <w:r w:rsidRPr="00DE25D7">
        <w:t>076</w:t>
      </w:r>
      <w:r w:rsidR="00D3185C">
        <w:t> </w:t>
      </w:r>
      <w:r w:rsidRPr="00DE25D7">
        <w:t>лица с предоставена временна закрила.</w:t>
      </w:r>
    </w:p>
    <w:p w14:paraId="367A9F61" w14:textId="6D39617D" w:rsidR="00DE25D7" w:rsidRPr="00DE25D7" w:rsidRDefault="00DE25D7" w:rsidP="00DE25D7">
      <w:pPr>
        <w:spacing w:before="120"/>
        <w:jc w:val="both"/>
      </w:pPr>
      <w:r w:rsidRPr="00DE25D7">
        <w:t>Отчетените средства в размер на 3,9 млн. лв. за социални разходи за ваучери с номинал 100 лв. по операция BG05FMOP001-6.001 – „Предоставяне на ваучери за осигуряване на храни и стоки от първа необходимост за разселени лица от Украйна“ по Оперативна програма храни и/или основно материално подпомагане от Фонд за подпомагане на най-нуждаещите се лица с финансиране по линията на REACT-EU. За периода от 01.01.2023 г. до 31.12.2023 г. са реализирани общо 39</w:t>
      </w:r>
      <w:r w:rsidR="00D3185C">
        <w:t> </w:t>
      </w:r>
      <w:r w:rsidRPr="00DE25D7">
        <w:t>455</w:t>
      </w:r>
      <w:r w:rsidR="00D3185C">
        <w:t> </w:t>
      </w:r>
      <w:r w:rsidRPr="00DE25D7">
        <w:t>ваучера.</w:t>
      </w:r>
    </w:p>
    <w:p w14:paraId="19411525" w14:textId="776C5443" w:rsidR="00DE25D7" w:rsidRPr="00DE25D7" w:rsidRDefault="00DE25D7" w:rsidP="00DE25D7">
      <w:pPr>
        <w:spacing w:before="120"/>
        <w:jc w:val="both"/>
        <w:rPr>
          <w:color w:val="5B9BD5"/>
          <w:lang w:eastAsia="bg-BG"/>
        </w:rPr>
      </w:pPr>
      <w:r w:rsidRPr="00DE25D7">
        <w:rPr>
          <w:lang w:eastAsia="bg-BG"/>
        </w:rPr>
        <w:t xml:space="preserve">Проект „Солидарност“ -  </w:t>
      </w:r>
      <w:r w:rsidRPr="00DE25D7">
        <w:t>изплатените средства през 2023 г. за предоставени субсидии в размер на 6,8 млн. лв. включват минимална помощ по смисъла на Регламент (ЕС) № 1407/2013 г. и интеграционна добавка за настаняване на лица, украински граждани.</w:t>
      </w:r>
      <w:r w:rsidRPr="00DE25D7">
        <w:rPr>
          <w:color w:val="5B9BD5"/>
          <w:lang w:eastAsia="bg-BG"/>
        </w:rPr>
        <w:t xml:space="preserve"> </w:t>
      </w:r>
      <w:r w:rsidRPr="00DE25D7">
        <w:t>Възнагражденията на 6</w:t>
      </w:r>
      <w:r w:rsidR="00D3185C">
        <w:t> </w:t>
      </w:r>
      <w:r w:rsidRPr="00DE25D7">
        <w:t>248</w:t>
      </w:r>
      <w:r w:rsidR="00D3185C">
        <w:t> </w:t>
      </w:r>
      <w:r w:rsidRPr="00DE25D7">
        <w:t>украински граждани възлизат на стойност 4,6 млн. лв. От интеграционната добавка в размер на 1,7 млн. лв. са се възползвали 4 181 украински граждани. Възнагражденията на 1 231 ментори са в размер на 0,5 млн. лв.</w:t>
      </w:r>
      <w:r w:rsidRPr="00DE25D7">
        <w:rPr>
          <w:color w:val="5B9BD5"/>
          <w:lang w:eastAsia="bg-BG"/>
        </w:rPr>
        <w:t xml:space="preserve"> </w:t>
      </w:r>
      <w:r w:rsidRPr="00DE25D7">
        <w:t>От стартирането на проекта през 2022 г. до 31.12.2023 г. по проект „Солидарност” са постъпили 1 510 броя заявления от работодатели за разкриване на 11</w:t>
      </w:r>
      <w:r w:rsidR="00D3185C">
        <w:t> </w:t>
      </w:r>
      <w:r w:rsidRPr="00DE25D7">
        <w:t>155</w:t>
      </w:r>
      <w:r w:rsidR="00D3185C">
        <w:t> </w:t>
      </w:r>
      <w:r w:rsidRPr="00DE25D7">
        <w:t xml:space="preserve">работни места. Подписани са общо 934 броя договори за осигуряване на заетост по проекта на обща стойност 15,1 млн. лв., от които 198 договора са прекратени. Стойността на изплатените средства по приключилите договори от началото на проекта до момента е 11,1 млн. лв. </w:t>
      </w:r>
    </w:p>
    <w:p w14:paraId="70D4FC2A" w14:textId="77777777" w:rsidR="00DE25D7" w:rsidRPr="00DE25D7" w:rsidRDefault="00DE25D7" w:rsidP="00DE25D7">
      <w:pPr>
        <w:jc w:val="both"/>
        <w:rPr>
          <w:lang w:eastAsia="bg-BG"/>
        </w:rPr>
      </w:pPr>
      <w:r w:rsidRPr="00DE25D7">
        <w:rPr>
          <w:lang w:eastAsia="bg-BG"/>
        </w:rPr>
        <w:t>Най-много работни места са заявени в секторите: „Хотелиерство и ресторантьорство“, „Транспорт, складиране и пощи“, „Търговия на дребно, без търговия на автомобили и мотоциклети“.</w:t>
      </w:r>
    </w:p>
    <w:p w14:paraId="37A56189" w14:textId="77777777" w:rsidR="00461390" w:rsidRPr="008B1673" w:rsidRDefault="00F731D7" w:rsidP="00F731D7">
      <w:pPr>
        <w:pStyle w:val="Heading1"/>
        <w:spacing w:before="360"/>
        <w:ind w:left="142" w:right="-108"/>
        <w:jc w:val="both"/>
        <w:rPr>
          <w:sz w:val="24"/>
        </w:rPr>
      </w:pPr>
      <w:r w:rsidRPr="008B1673">
        <w:rPr>
          <w:sz w:val="24"/>
        </w:rPr>
        <w:t>Мерки в частта</w:t>
      </w:r>
      <w:r w:rsidR="00F36605" w:rsidRPr="008B1673">
        <w:rPr>
          <w:sz w:val="24"/>
        </w:rPr>
        <w:t xml:space="preserve"> на приходите</w:t>
      </w:r>
      <w:r w:rsidRPr="008B1673">
        <w:rPr>
          <w:sz w:val="24"/>
        </w:rPr>
        <w:t xml:space="preserve"> относно</w:t>
      </w:r>
      <w:r w:rsidRPr="008B1673">
        <w:t xml:space="preserve"> </w:t>
      </w:r>
      <w:r w:rsidRPr="008B1673">
        <w:rPr>
          <w:sz w:val="24"/>
        </w:rPr>
        <w:t>социално-икономическите последици, свързани с енергийната криза и инфлационния натиск и и</w:t>
      </w:r>
      <w:r w:rsidR="00461390" w:rsidRPr="008B1673">
        <w:rPr>
          <w:sz w:val="24"/>
        </w:rPr>
        <w:t>нформация за разходите по програмите за компенсиране на разходите на небитови крайни клиенти за електрическа енергия и на операторите на електропреносната и електроразпределителните мрежи за закупуване на количества електрическа енергия, потребена за технологични разходи</w:t>
      </w:r>
      <w:r w:rsidRPr="008B1673">
        <w:rPr>
          <w:sz w:val="24"/>
          <w:lang w:val="en-US"/>
        </w:rPr>
        <w:t xml:space="preserve"> </w:t>
      </w:r>
      <w:r w:rsidRPr="008B1673">
        <w:rPr>
          <w:sz w:val="24"/>
        </w:rPr>
        <w:t xml:space="preserve"> </w:t>
      </w:r>
    </w:p>
    <w:p w14:paraId="2BF1110D" w14:textId="276E4B61" w:rsidR="006715D7" w:rsidRPr="006715D7" w:rsidRDefault="006715D7" w:rsidP="006715D7">
      <w:pPr>
        <w:spacing w:before="120"/>
        <w:jc w:val="both"/>
      </w:pPr>
      <w:bookmarkStart w:id="1" w:name="_Toc109903429"/>
      <w:bookmarkStart w:id="2" w:name="_Toc109903430"/>
      <w:r w:rsidRPr="006715D7">
        <w:t>Някои от приетите със Закона за изменение и допълнение на ЗДБРБ за 2022 г. мерки за смекчаване на инфлационния натиск, като нулева ставка на ДДС за доставките на хляб и брашно, запазват действието си и през 2023 г., като мярката е удължена до 30 юни 2024 г. (§ 22 от ЗИД на ЗДДС - ДВ, бр. 106 от 2023 г.), докато при мярката, свързана с освобождаване от акциз на електроенергия, природен газ и втечнен нефтен газ (LPG), срокът на действие беше съкратен от 30.06.2025 г. на 31.07.2023 година. В срок до 01.07.2023 г. се прилагаше и намалената ставка на ДДС от 9</w:t>
      </w:r>
      <w:r w:rsidR="007B19FE">
        <w:t xml:space="preserve"> </w:t>
      </w:r>
      <w:r w:rsidRPr="006715D7">
        <w:t xml:space="preserve">% за доставки на природен газ и централно отопление с място на изпълнение на територията на страната, при внос и при облагаеми </w:t>
      </w:r>
      <w:r w:rsidR="001C3B3F">
        <w:t xml:space="preserve">сделки в страната и </w:t>
      </w:r>
      <w:r w:rsidR="001C3B3F" w:rsidRPr="006715D7">
        <w:t>вътреобщностни придобивания</w:t>
      </w:r>
      <w:r w:rsidRPr="006715D7">
        <w:t>.</w:t>
      </w:r>
    </w:p>
    <w:p w14:paraId="5A27E794" w14:textId="5D2C8039" w:rsidR="006715D7" w:rsidRPr="006715D7" w:rsidRDefault="006715D7" w:rsidP="006715D7">
      <w:pPr>
        <w:spacing w:before="120"/>
        <w:jc w:val="both"/>
      </w:pPr>
      <w:r w:rsidRPr="006715D7">
        <w:t>От началото на 2023 година се повиши и прагът за регистрация по ЗДДС от 50 на 100 хил.</w:t>
      </w:r>
      <w:r w:rsidR="00B163A2">
        <w:t xml:space="preserve"> </w:t>
      </w:r>
      <w:r w:rsidRPr="006715D7">
        <w:t>лв., като тази мярка е оценена на 110,0 млн. лв. по-малко данъчни приходи.</w:t>
      </w:r>
    </w:p>
    <w:p w14:paraId="47EBFA06" w14:textId="77777777" w:rsidR="006715D7" w:rsidRPr="006715D7" w:rsidRDefault="006715D7" w:rsidP="006715D7">
      <w:pPr>
        <w:spacing w:before="120"/>
        <w:jc w:val="both"/>
      </w:pPr>
      <w:r w:rsidRPr="006715D7">
        <w:t>През 2023 г. продължи действието на въведената временна солидарна вноска, която следва да се внася за генерираните свръхпечалби от дружествата и местата на стопанска дейност от Съюза, извършващи дейност в отраслите на суровия нефт, природния газ, въглищата и нефтопреработването. Мярката е регламентирана в ЗКПО (§ 9 от ПРЗ на ЗКПО в сила от 8.10.2022 г. – ДВ, бр. 99 от 2022 г.). Вноската се определя и внася за данъчните печалби за 2022 г. и за 2023 година. С приетите промени (ДВ, бр. 86 от 2023 г., в сила от 13.10.2023 г.), ставката на тази вноска е повишена от 33 на 50 на сто върху основата за определяне на временната солидарна вноска.</w:t>
      </w:r>
    </w:p>
    <w:p w14:paraId="75BEA41F" w14:textId="5CA2C4BF" w:rsidR="00BF6A58" w:rsidRPr="00BF6A58" w:rsidRDefault="00BF6A58" w:rsidP="00C765F3">
      <w:pPr>
        <w:spacing w:before="120" w:after="120"/>
        <w:jc w:val="both"/>
        <w:rPr>
          <w:b/>
        </w:rPr>
      </w:pPr>
      <w:r w:rsidRPr="00BF6A58">
        <w:t>Към 31.12.2023 г. приходите във фонд „Сигурност на електроенергийната система“ от</w:t>
      </w:r>
      <w:r w:rsidRPr="00BF6A58">
        <w:rPr>
          <w:b/>
        </w:rPr>
        <w:t xml:space="preserve"> </w:t>
      </w:r>
      <w:r w:rsidRPr="00BF6A58">
        <w:t>целевите вноски по § 8, ал. 1, 3, 4 и 5 от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(от 01.12.2022</w:t>
      </w:r>
      <w:r w:rsidR="0058789C">
        <w:t> </w:t>
      </w:r>
      <w:r w:rsidRPr="00BF6A58">
        <w:t>г. до 30.06.2023 г.) и по § 3, ал. 1, 3, 4 и 5 от ПЗР на ЗДБРБ за 2023 г. (от 01.07.2023 г. до 31.12.2023</w:t>
      </w:r>
      <w:r w:rsidR="0058789C">
        <w:t> </w:t>
      </w:r>
      <w:r w:rsidRPr="00BF6A58">
        <w:t xml:space="preserve">г.) предназначени за покриване на разходи по одобрени от МС програми за компенсиране високите цени на </w:t>
      </w:r>
      <w:r w:rsidRPr="00E67263">
        <w:t>енергията са в размер на 949,2 млн. лв. Изпълнението</w:t>
      </w:r>
      <w:r w:rsidRPr="00BF6A58">
        <w:t xml:space="preserve"> им спрямо </w:t>
      </w:r>
      <w:r w:rsidR="00A245B4">
        <w:t>включените в КФП 692,5</w:t>
      </w:r>
      <w:r w:rsidR="003D6BBA">
        <w:t> </w:t>
      </w:r>
      <w:r w:rsidR="00A245B4">
        <w:t xml:space="preserve">млн. </w:t>
      </w:r>
      <w:r w:rsidRPr="00BF6A58">
        <w:t>лв. е 137</w:t>
      </w:r>
      <w:r w:rsidR="00CD166C">
        <w:t>,</w:t>
      </w:r>
      <w:r w:rsidRPr="00BF6A58">
        <w:t>07</w:t>
      </w:r>
      <w:r w:rsidR="00A245B4">
        <w:t xml:space="preserve"> %, а спрямо достигнатите по уточнен план (УП) 952,2 млн.</w:t>
      </w:r>
      <w:r w:rsidR="0058789C">
        <w:t xml:space="preserve"> лв. 99</w:t>
      </w:r>
      <w:r w:rsidR="00CD166C">
        <w:t>,</w:t>
      </w:r>
      <w:r w:rsidR="0058789C">
        <w:t>68 %.</w:t>
      </w:r>
    </w:p>
    <w:p w14:paraId="196722FB" w14:textId="595057F5" w:rsidR="00BF6A58" w:rsidRDefault="00BF6A58" w:rsidP="00C765F3">
      <w:pPr>
        <w:spacing w:after="120"/>
        <w:jc w:val="both"/>
      </w:pPr>
      <w:r w:rsidRPr="00BF6A58">
        <w:t>През 2023 г. за компенсиране високите цени на енергията по одобрени от МС програми (с РМС № 534 и РМС № 710 от 2022 г. и с РМС № 104 и РМС № 688 от 2023 г.), по-точно за компенсиране разходите на небитови крайни клиенти за електрическа енергия и на операторите на електропреносната и на електроразпределителните мрежи за закупуване на количествата електрическа енергия, потребена за технологични разходи са изразходвани 588,8 млн. лв.</w:t>
      </w:r>
    </w:p>
    <w:p w14:paraId="7A4B3475" w14:textId="29C8FF79" w:rsidR="00F5548E" w:rsidRDefault="00F5548E" w:rsidP="00C765F3">
      <w:pPr>
        <w:spacing w:after="120"/>
        <w:jc w:val="both"/>
      </w:pPr>
    </w:p>
    <w:p w14:paraId="1EFD8C37" w14:textId="77777777" w:rsidR="00F5548E" w:rsidRPr="00BF6A58" w:rsidRDefault="00F5548E" w:rsidP="00C765F3">
      <w:pPr>
        <w:spacing w:after="120"/>
        <w:jc w:val="both"/>
      </w:pPr>
    </w:p>
    <w:p w14:paraId="4C01B01F" w14:textId="77777777" w:rsidR="00B019A1" w:rsidRPr="00A32C5F" w:rsidRDefault="00B019A1" w:rsidP="00F171F9">
      <w:pPr>
        <w:pStyle w:val="Heading1"/>
        <w:spacing w:before="360"/>
        <w:ind w:left="142" w:right="-108"/>
        <w:jc w:val="both"/>
        <w:rPr>
          <w:sz w:val="24"/>
        </w:rPr>
      </w:pPr>
      <w:r w:rsidRPr="00A32C5F">
        <w:rPr>
          <w:sz w:val="24"/>
        </w:rPr>
        <w:t xml:space="preserve">Информация за ефектите в приходите и разходите от мерките за борба с COVID-19 и преодоляване на социално-икономическите последствия </w:t>
      </w:r>
      <w:bookmarkEnd w:id="1"/>
      <w:r w:rsidR="00F171F9" w:rsidRPr="00A32C5F">
        <w:rPr>
          <w:sz w:val="24"/>
        </w:rPr>
        <w:t>от пандемията</w:t>
      </w:r>
    </w:p>
    <w:p w14:paraId="77CE723F" w14:textId="77777777" w:rsidR="00B019A1" w:rsidRPr="00D56089" w:rsidRDefault="00B019A1" w:rsidP="00B019A1">
      <w:pPr>
        <w:rPr>
          <w:color w:val="4F81BD" w:themeColor="accent1"/>
          <w:sz w:val="12"/>
          <w:szCs w:val="12"/>
          <w:lang w:eastAsia="bg-BG"/>
        </w:rPr>
      </w:pPr>
    </w:p>
    <w:bookmarkEnd w:id="2"/>
    <w:p w14:paraId="497EC77F" w14:textId="77777777" w:rsidR="00A32C5F" w:rsidRPr="001C1721" w:rsidRDefault="00A32C5F" w:rsidP="00A32C5F">
      <w:pPr>
        <w:spacing w:before="120" w:after="120"/>
        <w:ind w:right="-45"/>
        <w:jc w:val="both"/>
        <w:rPr>
          <w:b/>
          <w:i/>
          <w:lang w:eastAsia="bg-BG"/>
        </w:rPr>
      </w:pPr>
      <w:r w:rsidRPr="001C1721">
        <w:rPr>
          <w:b/>
          <w:i/>
          <w:lang w:eastAsia="bg-BG"/>
        </w:rPr>
        <w:t xml:space="preserve">Мерки в частта на приходите           </w:t>
      </w:r>
    </w:p>
    <w:p w14:paraId="3070BE07" w14:textId="7203A8E4" w:rsidR="0008683D" w:rsidRPr="001C1721" w:rsidRDefault="0008683D" w:rsidP="0008683D">
      <w:pPr>
        <w:spacing w:after="120"/>
        <w:ind w:right="-43"/>
        <w:jc w:val="both"/>
        <w:rPr>
          <w:lang w:eastAsia="bg-BG"/>
        </w:rPr>
      </w:pPr>
      <w:r w:rsidRPr="001C1721">
        <w:rPr>
          <w:lang w:eastAsia="bg-BG"/>
        </w:rPr>
        <w:t xml:space="preserve">Приетите през предходните години мерки, свързани с прилагане на намалена ставка за ДДС на определени стоки и услуги от 20 % на 9 %, и увеличаване на размера на данъчните облекчения за деца (чл. 22в и чл. 22г от ЗДДФЛ) се прилагат и през 2023 г. </w:t>
      </w:r>
      <w:r>
        <w:rPr>
          <w:lang w:eastAsia="bg-BG"/>
        </w:rPr>
        <w:t>Н</w:t>
      </w:r>
      <w:r w:rsidRPr="001C1721">
        <w:rPr>
          <w:lang w:eastAsia="bg-BG"/>
        </w:rPr>
        <w:t xml:space="preserve">амалената ставка за доставки на ресторантьорски и кетъринг услуги, за доставки на обща туристическа услуга и за доставка на услуга за използване на спортни съоръжения </w:t>
      </w:r>
      <w:r>
        <w:rPr>
          <w:lang w:eastAsia="bg-BG"/>
        </w:rPr>
        <w:t>запази действието си и през</w:t>
      </w:r>
      <w:r w:rsidRPr="001C1721">
        <w:rPr>
          <w:lang w:eastAsia="bg-BG"/>
        </w:rPr>
        <w:t xml:space="preserve"> 2023</w:t>
      </w:r>
      <w:r>
        <w:rPr>
          <w:lang w:eastAsia="bg-BG"/>
        </w:rPr>
        <w:t> </w:t>
      </w:r>
      <w:r w:rsidRPr="001C1721">
        <w:rPr>
          <w:lang w:eastAsia="bg-BG"/>
        </w:rPr>
        <w:t>година.</w:t>
      </w:r>
      <w:r>
        <w:rPr>
          <w:lang w:eastAsia="bg-BG"/>
        </w:rPr>
        <w:t xml:space="preserve"> Срокът на действие на намалената ставка за посочените доставки беше удължен до 31.12.2024 година.</w:t>
      </w:r>
      <w:r w:rsidRPr="001C1721">
        <w:rPr>
          <w:lang w:eastAsia="bg-BG"/>
        </w:rPr>
        <w:t xml:space="preserve"> От 1</w:t>
      </w:r>
      <w:r w:rsidR="008767F5">
        <w:rPr>
          <w:lang w:eastAsia="bg-BG"/>
        </w:rPr>
        <w:t> </w:t>
      </w:r>
      <w:r w:rsidRPr="001C1721">
        <w:rPr>
          <w:lang w:eastAsia="bg-BG"/>
        </w:rPr>
        <w:t xml:space="preserve">януари 2023 г. намалените данъчни ставки на ДДС в размер на 9 % за доставка на книги, на храна, подходяща за бебета или за малки деца и на бебешките пелени и подобни хигиенни артикули са променени на мерки с постоянен характер. </w:t>
      </w:r>
    </w:p>
    <w:p w14:paraId="76D62DAC" w14:textId="77777777" w:rsidR="00A32C5F" w:rsidRPr="00D56089" w:rsidRDefault="00A32C5F" w:rsidP="00A32C5F">
      <w:pPr>
        <w:spacing w:after="120"/>
        <w:ind w:right="-43"/>
        <w:jc w:val="both"/>
        <w:rPr>
          <w:color w:val="4F81BD" w:themeColor="accent1"/>
          <w:lang w:eastAsia="bg-BG"/>
        </w:rPr>
      </w:pPr>
      <w:r w:rsidRPr="001C1721">
        <w:rPr>
          <w:lang w:eastAsia="bg-BG"/>
        </w:rPr>
        <w:t xml:space="preserve">Извън мерките, целящи преодоляване на последствията от пандемията и енергийната криза, в сила от 1.03.2023 г. е въведен акцизен календар за поетапно увеличаване на ставките на тютюна и тютюневите изделия за период от четири години. С измененията в ЗАДС (съгласно т.2 на § 31 от ПЗР на ЗИД на ДОПК, изм., обн. ДВ, бр. 100 от 2022 г., в сила от 1.03.2023 г.) е въведена и дефиниция за „течност за електронна цигара, съдържаща никотин", като същата става част от тютюневите изделия (нов чл. 12б от ЗАДС). </w:t>
      </w:r>
      <w:r w:rsidRPr="001C1721">
        <w:t>Приета е нова разпоредба в ЗАДС (Изм. – ДВ, бр. 66 от 2023 г., в сила от 1.08.2023 г.) за включване на течностите за електронни цигари, независимо дали съдържа никотин, и заместителите на тютюна, съдържащи никотин, в обхвата на акцизните стоки.</w:t>
      </w:r>
      <w:r w:rsidRPr="001C1721">
        <w:rPr>
          <w:b/>
          <w:i/>
        </w:rPr>
        <w:t xml:space="preserve"> </w:t>
      </w:r>
      <w:r w:rsidRPr="001C1721">
        <w:t>В сила от 1.08.2023 г. е въведен акцизен календар за поетапно увеличаване на ставките на нововъведените акцизни стоки</w:t>
      </w:r>
      <w:r w:rsidRPr="001C1721">
        <w:rPr>
          <w:lang w:eastAsia="bg-BG"/>
        </w:rPr>
        <w:t>.</w:t>
      </w:r>
    </w:p>
    <w:p w14:paraId="11A310EE" w14:textId="77777777" w:rsidR="00A32C5F" w:rsidRPr="009B6EF5" w:rsidRDefault="00A32C5F" w:rsidP="00A32C5F">
      <w:pPr>
        <w:spacing w:before="240" w:after="120"/>
        <w:ind w:right="-45"/>
        <w:jc w:val="both"/>
        <w:rPr>
          <w:b/>
          <w:i/>
          <w:lang w:val="ru-RU" w:eastAsia="bg-BG"/>
        </w:rPr>
      </w:pPr>
      <w:r w:rsidRPr="009B6EF5">
        <w:rPr>
          <w:b/>
          <w:i/>
          <w:lang w:eastAsia="bg-BG"/>
        </w:rPr>
        <w:t>Мерки в частта на разходите</w:t>
      </w:r>
    </w:p>
    <w:p w14:paraId="37CD2E3D" w14:textId="4C85B4E2" w:rsidR="00A32C5F" w:rsidRPr="009B6EF5" w:rsidRDefault="00A32C5F" w:rsidP="00A32C5F">
      <w:pPr>
        <w:spacing w:before="120" w:after="120"/>
        <w:jc w:val="both"/>
        <w:rPr>
          <w:lang w:eastAsia="bg-BG"/>
        </w:rPr>
      </w:pPr>
      <w:r w:rsidRPr="009B6EF5">
        <w:rPr>
          <w:lang w:eastAsia="bg-BG"/>
        </w:rPr>
        <w:t xml:space="preserve">В касовите отчети на първостепенните разпоредители с </w:t>
      </w:r>
      <w:r w:rsidR="00913408" w:rsidRPr="009B6EF5">
        <w:rPr>
          <w:lang w:eastAsia="bg-BG"/>
        </w:rPr>
        <w:t>бюджет</w:t>
      </w:r>
      <w:r w:rsidR="00913408">
        <w:rPr>
          <w:lang w:eastAsia="bg-BG"/>
        </w:rPr>
        <w:t>, вкл.</w:t>
      </w:r>
      <w:r w:rsidR="00913408" w:rsidRPr="009B6EF5">
        <w:rPr>
          <w:lang w:eastAsia="bg-BG"/>
        </w:rPr>
        <w:t xml:space="preserve"> общините </w:t>
      </w:r>
      <w:r w:rsidRPr="009B6EF5">
        <w:rPr>
          <w:lang w:eastAsia="bg-BG"/>
        </w:rPr>
        <w:t>по линия на националния бюджет към 3</w:t>
      </w:r>
      <w:r w:rsidRPr="009B6EF5">
        <w:rPr>
          <w:lang w:val="en-US" w:eastAsia="bg-BG"/>
        </w:rPr>
        <w:t>1</w:t>
      </w:r>
      <w:r w:rsidRPr="009B6EF5">
        <w:rPr>
          <w:lang w:eastAsia="bg-BG"/>
        </w:rPr>
        <w:t>.</w:t>
      </w:r>
      <w:r w:rsidRPr="009B6EF5">
        <w:rPr>
          <w:lang w:val="en-US" w:eastAsia="bg-BG"/>
        </w:rPr>
        <w:t>12</w:t>
      </w:r>
      <w:r w:rsidRPr="009B6EF5">
        <w:rPr>
          <w:lang w:eastAsia="bg-BG"/>
        </w:rPr>
        <w:t xml:space="preserve">.2023 г. са отчетени </w:t>
      </w:r>
      <w:r w:rsidRPr="009B6EF5">
        <w:rPr>
          <w:b/>
          <w:lang w:val="ru-RU" w:eastAsia="bg-BG"/>
        </w:rPr>
        <w:t>16</w:t>
      </w:r>
      <w:r w:rsidRPr="009B6EF5">
        <w:rPr>
          <w:b/>
          <w:lang w:val="en-US" w:eastAsia="bg-BG"/>
        </w:rPr>
        <w:t>0</w:t>
      </w:r>
      <w:r w:rsidRPr="009B6EF5">
        <w:rPr>
          <w:b/>
          <w:lang w:eastAsia="bg-BG"/>
        </w:rPr>
        <w:t>,6 млн. лв.</w:t>
      </w:r>
      <w:r w:rsidRPr="009B6EF5">
        <w:rPr>
          <w:lang w:eastAsia="bg-BG"/>
        </w:rPr>
        <w:t xml:space="preserve"> разходи за мерки за борба с COVID-19 и преодоляване на социално-икономическите последствия от пандемията. </w:t>
      </w:r>
    </w:p>
    <w:p w14:paraId="5573A157" w14:textId="77777777" w:rsidR="00A32C5F" w:rsidRPr="007960AB" w:rsidRDefault="00A32C5F" w:rsidP="00A32C5F">
      <w:pPr>
        <w:spacing w:after="120"/>
        <w:jc w:val="both"/>
        <w:rPr>
          <w:b/>
          <w:lang w:eastAsia="bg-BG"/>
        </w:rPr>
      </w:pPr>
      <w:r w:rsidRPr="007960AB">
        <w:rPr>
          <w:lang w:eastAsia="bg-BG"/>
        </w:rPr>
        <w:t xml:space="preserve">В частта на </w:t>
      </w:r>
      <w:r w:rsidRPr="007960AB">
        <w:rPr>
          <w:b/>
          <w:lang w:eastAsia="bg-BG"/>
        </w:rPr>
        <w:t>мерките за подкрепа на домакинствата</w:t>
      </w:r>
      <w:r w:rsidRPr="007960AB">
        <w:rPr>
          <w:lang w:eastAsia="bg-BG"/>
        </w:rPr>
        <w:t xml:space="preserve"> са изразходвани </w:t>
      </w:r>
      <w:r w:rsidRPr="007960AB">
        <w:rPr>
          <w:b/>
          <w:lang w:eastAsia="bg-BG"/>
        </w:rPr>
        <w:t>1</w:t>
      </w:r>
      <w:r w:rsidRPr="007960AB">
        <w:rPr>
          <w:b/>
          <w:lang w:val="en-US" w:eastAsia="bg-BG"/>
        </w:rPr>
        <w:t>2</w:t>
      </w:r>
      <w:r w:rsidRPr="007960AB">
        <w:rPr>
          <w:b/>
          <w:lang w:eastAsia="bg-BG"/>
        </w:rPr>
        <w:t>6,</w:t>
      </w:r>
      <w:r w:rsidRPr="007960AB">
        <w:rPr>
          <w:b/>
          <w:lang w:val="en-US" w:eastAsia="bg-BG"/>
        </w:rPr>
        <w:t>7</w:t>
      </w:r>
      <w:r w:rsidRPr="007960AB">
        <w:rPr>
          <w:b/>
          <w:lang w:eastAsia="bg-BG"/>
        </w:rPr>
        <w:t xml:space="preserve"> млн. лв. </w:t>
      </w:r>
      <w:r w:rsidRPr="007960AB">
        <w:rPr>
          <w:lang w:eastAsia="bg-BG"/>
        </w:rPr>
        <w:t xml:space="preserve">от националния бюджет. </w:t>
      </w:r>
      <w:r w:rsidRPr="007960AB">
        <w:t xml:space="preserve">С най-голям дял са отчетените разходи от </w:t>
      </w:r>
      <w:r w:rsidRPr="007960AB">
        <w:rPr>
          <w:rFonts w:eastAsia="Calibri"/>
        </w:rPr>
        <w:t xml:space="preserve">Министерството на здравеопазването </w:t>
      </w:r>
      <w:r w:rsidRPr="007960AB">
        <w:t xml:space="preserve"> в размер на 1</w:t>
      </w:r>
      <w:r w:rsidRPr="007960AB">
        <w:rPr>
          <w:lang w:val="en-US"/>
        </w:rPr>
        <w:t>22</w:t>
      </w:r>
      <w:r w:rsidRPr="007960AB">
        <w:t>,</w:t>
      </w:r>
      <w:r w:rsidRPr="007960AB">
        <w:rPr>
          <w:lang w:val="en-US"/>
        </w:rPr>
        <w:t>9</w:t>
      </w:r>
      <w:r w:rsidRPr="007960AB">
        <w:t xml:space="preserve"> млн. лв. за закупуване на ваксини и лекарствени продукти (Veklury (Ремдесивир), Regkirona 60mg/ml, Kineret (Кинерет), Molnupiravir и др.).</w:t>
      </w:r>
    </w:p>
    <w:p w14:paraId="500175E0" w14:textId="77777777" w:rsidR="00A32C5F" w:rsidRPr="009B6EF5" w:rsidRDefault="00A32C5F" w:rsidP="00A32C5F">
      <w:pPr>
        <w:spacing w:after="120"/>
        <w:jc w:val="both"/>
        <w:rPr>
          <w:sz w:val="8"/>
          <w:szCs w:val="8"/>
          <w:lang w:val="ru-RU"/>
        </w:rPr>
      </w:pPr>
      <w:r w:rsidRPr="0093656B">
        <w:rPr>
          <w:color w:val="000000" w:themeColor="text1"/>
        </w:rPr>
        <w:t xml:space="preserve">Към 31.12.2023 г. по </w:t>
      </w:r>
      <w:r w:rsidRPr="0093656B">
        <w:rPr>
          <w:b/>
          <w:color w:val="000000" w:themeColor="text1"/>
        </w:rPr>
        <w:t>мерки в подкрепа на бизнеса</w:t>
      </w:r>
      <w:r w:rsidRPr="0093656B">
        <w:rPr>
          <w:color w:val="000000" w:themeColor="text1"/>
        </w:rPr>
        <w:t xml:space="preserve"> са отчетени (-</w:t>
      </w:r>
      <w:r>
        <w:rPr>
          <w:color w:val="000000" w:themeColor="text1"/>
        </w:rPr>
        <w:t>0,3</w:t>
      </w:r>
      <w:r w:rsidRPr="0093656B">
        <w:rPr>
          <w:color w:val="000000" w:themeColor="text1"/>
        </w:rPr>
        <w:t xml:space="preserve"> млн. лв.), които са </w:t>
      </w:r>
      <w:r w:rsidRPr="0093656B">
        <w:rPr>
          <w:bCs/>
        </w:rPr>
        <w:t xml:space="preserve"> компенсирана разлика между изплатената през 2023 г. безвъзмездна финансова помощ и </w:t>
      </w:r>
      <w:r w:rsidRPr="009B6EF5">
        <w:rPr>
          <w:bCs/>
        </w:rPr>
        <w:t>възстановени суми, представляващи неправомерно получени средства.</w:t>
      </w:r>
    </w:p>
    <w:p w14:paraId="6313E219" w14:textId="77777777" w:rsidR="00A32C5F" w:rsidRPr="00D56089" w:rsidRDefault="00A32C5F" w:rsidP="00A32C5F">
      <w:pPr>
        <w:jc w:val="both"/>
        <w:rPr>
          <w:color w:val="4F81BD" w:themeColor="accent1"/>
        </w:rPr>
      </w:pPr>
      <w:r w:rsidRPr="009B6EF5">
        <w:rPr>
          <w:b/>
          <w:lang w:eastAsia="bg-BG"/>
        </w:rPr>
        <w:t>За</w:t>
      </w:r>
      <w:r w:rsidRPr="009B6EF5">
        <w:rPr>
          <w:lang w:eastAsia="bg-BG"/>
        </w:rPr>
        <w:t xml:space="preserve"> </w:t>
      </w:r>
      <w:r w:rsidRPr="009B6EF5">
        <w:rPr>
          <w:b/>
          <w:lang w:eastAsia="bg-BG"/>
        </w:rPr>
        <w:t>мерки за органите на държавното управление, натоварени с дейности по овладяване на пандемията и последствията от COVID-19</w:t>
      </w:r>
      <w:r w:rsidRPr="009B6EF5">
        <w:rPr>
          <w:lang w:eastAsia="bg-BG"/>
        </w:rPr>
        <w:t xml:space="preserve"> от националния бюджет през 2023 г. са предоставени общо</w:t>
      </w:r>
      <w:r w:rsidRPr="009B6EF5">
        <w:rPr>
          <w:b/>
          <w:lang w:eastAsia="bg-BG"/>
        </w:rPr>
        <w:t xml:space="preserve"> 34,2</w:t>
      </w:r>
      <w:r w:rsidRPr="009B6EF5">
        <w:rPr>
          <w:lang w:eastAsia="bg-BG"/>
        </w:rPr>
        <w:t xml:space="preserve"> </w:t>
      </w:r>
      <w:r w:rsidRPr="009B6EF5">
        <w:rPr>
          <w:b/>
          <w:lang w:eastAsia="bg-BG"/>
        </w:rPr>
        <w:t>млн. лв</w:t>
      </w:r>
      <w:r w:rsidRPr="009B6EF5">
        <w:rPr>
          <w:b/>
          <w:lang w:val="ru-RU" w:eastAsia="bg-BG"/>
        </w:rPr>
        <w:t>.</w:t>
      </w:r>
      <w:r w:rsidRPr="009B6EF5">
        <w:rPr>
          <w:lang w:val="ru-RU" w:eastAsia="bg-BG"/>
        </w:rPr>
        <w:t xml:space="preserve"> </w:t>
      </w:r>
      <w:r w:rsidRPr="009B6EF5">
        <w:t>С най-голям дял от 25,0  млн. лв. са разходите за подкрепа на персонала на първа линия, пряко ангажиран с дейности по предотвратяване разпространението на COVID-19.</w:t>
      </w:r>
      <w:r w:rsidRPr="009B6EF5">
        <w:rPr>
          <w:lang w:val="ru-RU" w:eastAsia="bg-BG"/>
        </w:rPr>
        <w:t xml:space="preserve"> </w:t>
      </w:r>
      <w:r w:rsidRPr="009B6EF5">
        <w:rPr>
          <w:lang w:eastAsia="bg-BG"/>
        </w:rPr>
        <w:t>От общините за противоепидемични мерки са изразходени средства в размер на 7,1 млн. лева.</w:t>
      </w:r>
    </w:p>
    <w:p w14:paraId="6FA124C2" w14:textId="77777777" w:rsidR="00AD5F24" w:rsidRPr="00D56089" w:rsidRDefault="00AD5F24" w:rsidP="00C562E5">
      <w:pPr>
        <w:spacing w:after="120"/>
        <w:jc w:val="both"/>
        <w:rPr>
          <w:rFonts w:ascii="Calibri" w:eastAsia="Calibri" w:hAnsi="Calibri"/>
          <w:color w:val="4F81BD" w:themeColor="accent1"/>
          <w:sz w:val="22"/>
          <w:szCs w:val="22"/>
          <w:lang w:val="ru-RU"/>
        </w:rPr>
      </w:pPr>
      <w:r w:rsidRPr="00D56089">
        <w:rPr>
          <w:rFonts w:ascii="Calibri" w:eastAsia="Calibri" w:hAnsi="Calibri"/>
          <w:color w:val="4F81BD" w:themeColor="accent1"/>
          <w:sz w:val="22"/>
          <w:szCs w:val="22"/>
          <w:lang w:val="ru-RU"/>
        </w:rPr>
        <w:br w:type="page"/>
      </w:r>
    </w:p>
    <w:p w14:paraId="140C0770" w14:textId="77777777" w:rsidR="00E74802" w:rsidRPr="00093D60" w:rsidRDefault="00E74802" w:rsidP="00A60DE3">
      <w:pPr>
        <w:pStyle w:val="Heading1"/>
        <w:numPr>
          <w:ilvl w:val="0"/>
          <w:numId w:val="9"/>
        </w:numPr>
        <w:ind w:right="-108"/>
        <w:jc w:val="both"/>
        <w:rPr>
          <w:sz w:val="24"/>
        </w:rPr>
      </w:pPr>
      <w:r w:rsidRPr="00093D60">
        <w:rPr>
          <w:sz w:val="24"/>
        </w:rPr>
        <w:t>Основни показатели по консолидираната фискална програма</w:t>
      </w:r>
      <w:r w:rsidRPr="00093D60">
        <w:rPr>
          <w:rStyle w:val="FootnoteReference"/>
          <w:sz w:val="24"/>
        </w:rPr>
        <w:footnoteReference w:id="2"/>
      </w:r>
      <w:r w:rsidRPr="00093D60">
        <w:rPr>
          <w:sz w:val="24"/>
        </w:rPr>
        <w:t xml:space="preserve"> за 20</w:t>
      </w:r>
      <w:r w:rsidR="001F7F82" w:rsidRPr="00093D60">
        <w:rPr>
          <w:sz w:val="24"/>
        </w:rPr>
        <w:t>2</w:t>
      </w:r>
      <w:r w:rsidR="000F1EB1" w:rsidRPr="00093D60">
        <w:rPr>
          <w:sz w:val="24"/>
        </w:rPr>
        <w:t>3</w:t>
      </w:r>
      <w:r w:rsidRPr="00093D60">
        <w:rPr>
          <w:sz w:val="24"/>
        </w:rPr>
        <w:t> г.</w:t>
      </w:r>
    </w:p>
    <w:p w14:paraId="2C8608F7" w14:textId="77777777" w:rsidR="00430A35" w:rsidRPr="00D56089" w:rsidRDefault="00430A35" w:rsidP="00430A35">
      <w:pPr>
        <w:rPr>
          <w:color w:val="4F81BD" w:themeColor="accent1"/>
          <w:sz w:val="6"/>
          <w:szCs w:val="12"/>
        </w:rPr>
      </w:pPr>
    </w:p>
    <w:p w14:paraId="2D12A4D4" w14:textId="77590664" w:rsidR="00536EAA" w:rsidRDefault="00536EAA" w:rsidP="00536EAA">
      <w:pPr>
        <w:pStyle w:val="BodyText"/>
        <w:spacing w:before="120"/>
      </w:pPr>
      <w:r w:rsidRPr="00E66CC9">
        <w:rPr>
          <w:b/>
        </w:rPr>
        <w:t>Постъпилите приходи, помощи и дарения по</w:t>
      </w:r>
      <w:r w:rsidRPr="00E66CC9">
        <w:t xml:space="preserve"> </w:t>
      </w:r>
      <w:r w:rsidRPr="00E66CC9">
        <w:rPr>
          <w:b/>
        </w:rPr>
        <w:t>КФП за 202</w:t>
      </w:r>
      <w:r w:rsidR="002A511F" w:rsidRPr="00E66CC9">
        <w:rPr>
          <w:b/>
          <w:lang w:val="en-US"/>
        </w:rPr>
        <w:t>3</w:t>
      </w:r>
      <w:r w:rsidRPr="00E66CC9">
        <w:rPr>
          <w:b/>
        </w:rPr>
        <w:t xml:space="preserve"> г. </w:t>
      </w:r>
      <w:r w:rsidRPr="00E66CC9">
        <w:t xml:space="preserve">представляват </w:t>
      </w:r>
      <w:r w:rsidR="00E66CC9" w:rsidRPr="00E66CC9">
        <w:rPr>
          <w:b/>
        </w:rPr>
        <w:t>35,1</w:t>
      </w:r>
      <w:r w:rsidRPr="00E66CC9">
        <w:rPr>
          <w:b/>
        </w:rPr>
        <w:t xml:space="preserve"> % от прогнозния БВП. </w:t>
      </w:r>
      <w:r w:rsidRPr="00E66CC9">
        <w:t>За сравнение</w:t>
      </w:r>
      <w:r w:rsidRPr="00E66CC9">
        <w:rPr>
          <w:b/>
        </w:rPr>
        <w:t xml:space="preserve">  </w:t>
      </w:r>
      <w:r w:rsidRPr="00E66CC9">
        <w:t>през предходната година приходите и помощите</w:t>
      </w:r>
      <w:r w:rsidRPr="00E66CC9">
        <w:rPr>
          <w:b/>
        </w:rPr>
        <w:t xml:space="preserve"> </w:t>
      </w:r>
      <w:r w:rsidRPr="00E66CC9">
        <w:t xml:space="preserve">са </w:t>
      </w:r>
      <w:r w:rsidR="00E66CC9" w:rsidRPr="00E66CC9">
        <w:rPr>
          <w:b/>
        </w:rPr>
        <w:t>38,6</w:t>
      </w:r>
      <w:r w:rsidRPr="00E66CC9">
        <w:rPr>
          <w:b/>
        </w:rPr>
        <w:t xml:space="preserve"> % от </w:t>
      </w:r>
      <w:r w:rsidRPr="00C97E0D">
        <w:rPr>
          <w:b/>
        </w:rPr>
        <w:t>БВП.</w:t>
      </w:r>
      <w:r w:rsidR="00FA19D6" w:rsidRPr="00C97E0D">
        <w:rPr>
          <w:b/>
        </w:rPr>
        <w:t xml:space="preserve"> </w:t>
      </w:r>
      <w:r w:rsidR="00FA19D6" w:rsidRPr="00C97E0D">
        <w:t>Следва да се отбележи, че през предходната 2022 г. има приходи с еднократен извънреден характер.</w:t>
      </w:r>
    </w:p>
    <w:p w14:paraId="2D572450" w14:textId="37149092" w:rsidR="0040675A" w:rsidRDefault="0040675A" w:rsidP="00536EAA">
      <w:pPr>
        <w:pStyle w:val="BodyText"/>
        <w:spacing w:before="120"/>
      </w:pPr>
      <w:r>
        <w:rPr>
          <w:noProof/>
          <w:lang w:eastAsia="bg-BG"/>
        </w:rPr>
        <w:drawing>
          <wp:inline distT="0" distB="0" distL="0" distR="0" wp14:anchorId="2AFAF17B" wp14:editId="72C3FA1C">
            <wp:extent cx="6123305" cy="2327564"/>
            <wp:effectExtent l="0" t="0" r="10795"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10357" w:type="dxa"/>
        <w:tblLook w:val="04A0" w:firstRow="1" w:lastRow="0" w:firstColumn="1" w:lastColumn="0" w:noHBand="0" w:noVBand="1"/>
      </w:tblPr>
      <w:tblGrid>
        <w:gridCol w:w="10357"/>
      </w:tblGrid>
      <w:tr w:rsidR="00536EAA" w:rsidRPr="00A0423D" w14:paraId="6FF63ED7" w14:textId="77777777" w:rsidTr="00095288">
        <w:tc>
          <w:tcPr>
            <w:tcW w:w="10357" w:type="dxa"/>
            <w:hideMark/>
          </w:tcPr>
          <w:p w14:paraId="1929B44A" w14:textId="77777777" w:rsidR="00536EAA" w:rsidRPr="00A0423D" w:rsidRDefault="00536EAA" w:rsidP="00095288">
            <w:pPr>
              <w:jc w:val="both"/>
              <w:rPr>
                <w:color w:val="0070C0"/>
                <w:sz w:val="4"/>
                <w:szCs w:val="4"/>
                <w:lang w:val="en-US"/>
              </w:rPr>
            </w:pPr>
          </w:p>
        </w:tc>
      </w:tr>
    </w:tbl>
    <w:p w14:paraId="54D5B4A4" w14:textId="77777777" w:rsidR="00862CB1" w:rsidRPr="00862CB1" w:rsidRDefault="00862CB1" w:rsidP="00536EAA">
      <w:pPr>
        <w:ind w:left="360"/>
        <w:jc w:val="both"/>
        <w:rPr>
          <w:sz w:val="8"/>
          <w:szCs w:val="18"/>
        </w:rPr>
      </w:pPr>
    </w:p>
    <w:p w14:paraId="257FDF35" w14:textId="77777777" w:rsidR="00536EAA" w:rsidRPr="00EF7C84" w:rsidRDefault="00536EAA" w:rsidP="00536EAA">
      <w:pPr>
        <w:ind w:left="360"/>
        <w:jc w:val="both"/>
        <w:rPr>
          <w:sz w:val="18"/>
          <w:szCs w:val="18"/>
        </w:rPr>
      </w:pPr>
      <w:r w:rsidRPr="00EF7C84">
        <w:rPr>
          <w:sz w:val="18"/>
          <w:szCs w:val="18"/>
        </w:rPr>
        <w:t>*В частта на преките данъци са включени и други данъци</w:t>
      </w:r>
    </w:p>
    <w:p w14:paraId="35A2AFBF" w14:textId="77777777" w:rsidR="00536EAA" w:rsidRPr="00A0423D" w:rsidRDefault="00536EAA" w:rsidP="00536EAA">
      <w:pPr>
        <w:jc w:val="both"/>
        <w:rPr>
          <w:b/>
          <w:color w:val="0070C0"/>
          <w:sz w:val="16"/>
          <w:highlight w:val="yellow"/>
        </w:rPr>
      </w:pPr>
    </w:p>
    <w:p w14:paraId="3D3D14C5" w14:textId="39F5BBFC" w:rsidR="00536EAA" w:rsidRDefault="00536EAA" w:rsidP="00536EAA">
      <w:pPr>
        <w:pStyle w:val="BodyText"/>
        <w:spacing w:before="120"/>
        <w:rPr>
          <w:color w:val="0070C0"/>
        </w:rPr>
      </w:pPr>
      <w:r w:rsidRPr="001E2DE0">
        <w:rPr>
          <w:b/>
        </w:rPr>
        <w:t>Разходите по КФП за 202</w:t>
      </w:r>
      <w:r w:rsidR="001E2DE0" w:rsidRPr="001E2DE0">
        <w:rPr>
          <w:b/>
          <w:lang w:val="en-US"/>
        </w:rPr>
        <w:t>3</w:t>
      </w:r>
      <w:r w:rsidRPr="001E2DE0">
        <w:rPr>
          <w:b/>
        </w:rPr>
        <w:t xml:space="preserve"> г. </w:t>
      </w:r>
      <w:r w:rsidRPr="001E2DE0">
        <w:t xml:space="preserve">(включително вноската на Република България в общия бюджет на </w:t>
      </w:r>
      <w:r w:rsidRPr="00CC1CD5">
        <w:t>ЕС)</w:t>
      </w:r>
      <w:r w:rsidRPr="00CC1CD5">
        <w:rPr>
          <w:b/>
        </w:rPr>
        <w:t xml:space="preserve"> </w:t>
      </w:r>
      <w:r w:rsidRPr="00CC1CD5">
        <w:t xml:space="preserve">представляват </w:t>
      </w:r>
      <w:r w:rsidR="00CC1CD5" w:rsidRPr="00CC1CD5">
        <w:rPr>
          <w:b/>
        </w:rPr>
        <w:t>38,0</w:t>
      </w:r>
      <w:r w:rsidRPr="00CC1CD5">
        <w:rPr>
          <w:b/>
        </w:rPr>
        <w:t xml:space="preserve"> % от прогнозния БВП </w:t>
      </w:r>
      <w:r w:rsidRPr="00CC1CD5">
        <w:t xml:space="preserve">и отбелязват </w:t>
      </w:r>
      <w:r w:rsidR="00CC1CD5" w:rsidRPr="00CC1CD5">
        <w:t>намаление</w:t>
      </w:r>
      <w:r w:rsidRPr="00CC1CD5">
        <w:t xml:space="preserve"> с </w:t>
      </w:r>
      <w:r w:rsidR="00CC1CD5" w:rsidRPr="00CC1CD5">
        <w:t>1</w:t>
      </w:r>
      <w:r w:rsidRPr="00CC1CD5">
        <w:t xml:space="preserve">,4 пр. п. спрямо </w:t>
      </w:r>
      <w:r w:rsidRPr="00CA40CE">
        <w:t>отчетените за 202</w:t>
      </w:r>
      <w:r w:rsidR="00CC1CD5" w:rsidRPr="00CA40CE">
        <w:t>2</w:t>
      </w:r>
      <w:r w:rsidRPr="00CA40CE">
        <w:t xml:space="preserve"> г. (</w:t>
      </w:r>
      <w:r w:rsidR="00CC1CD5" w:rsidRPr="00CA40CE">
        <w:t>39,4</w:t>
      </w:r>
      <w:r w:rsidRPr="00CA40CE">
        <w:t xml:space="preserve"> % от БВП). </w:t>
      </w:r>
      <w:r w:rsidR="00CC1CD5" w:rsidRPr="00CA40CE">
        <w:t xml:space="preserve">Необходимо е да се отбележи, че и </w:t>
      </w:r>
      <w:r w:rsidRPr="00CA40CE">
        <w:t xml:space="preserve">в частта на разходите през </w:t>
      </w:r>
      <w:r w:rsidR="00CC1CD5" w:rsidRPr="00CA40CE">
        <w:t xml:space="preserve">предходната </w:t>
      </w:r>
      <w:r w:rsidRPr="00CA40CE">
        <w:t>2022 г. има извършени разходи, които са с еднократен извънреден характер.</w:t>
      </w:r>
    </w:p>
    <w:p w14:paraId="6B528FFF" w14:textId="77777777" w:rsidR="00E72622" w:rsidRPr="00717B81" w:rsidRDefault="00E72622" w:rsidP="00536EAA">
      <w:pPr>
        <w:pStyle w:val="BodyText"/>
        <w:spacing w:before="120"/>
        <w:rPr>
          <w:color w:val="0070C0"/>
        </w:rPr>
      </w:pPr>
      <w:r>
        <w:rPr>
          <w:noProof/>
          <w:lang w:eastAsia="bg-BG"/>
        </w:rPr>
        <w:drawing>
          <wp:inline distT="0" distB="0" distL="0" distR="0" wp14:anchorId="4B07F7F1" wp14:editId="2FBF0E75">
            <wp:extent cx="6080760" cy="3394364"/>
            <wp:effectExtent l="0" t="0" r="1524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6B1FF3" w14:textId="77777777" w:rsidR="00536EAA" w:rsidRPr="00A0423D" w:rsidRDefault="00536EAA" w:rsidP="00536EAA">
      <w:pPr>
        <w:ind w:firstLine="142"/>
        <w:jc w:val="both"/>
        <w:rPr>
          <w:color w:val="0070C0"/>
          <w:sz w:val="6"/>
          <w:szCs w:val="8"/>
        </w:rPr>
      </w:pPr>
      <w:bookmarkStart w:id="3" w:name="_MON_1608125583"/>
      <w:bookmarkStart w:id="4" w:name="_MON_1608125674"/>
      <w:bookmarkStart w:id="5" w:name="_MON_1608126274"/>
      <w:bookmarkStart w:id="6" w:name="_MON_1608124882"/>
      <w:bookmarkStart w:id="7" w:name="_MON_1608126650"/>
      <w:bookmarkStart w:id="8" w:name="_MON_1608126890"/>
      <w:bookmarkStart w:id="9" w:name="_MON_1608126952"/>
      <w:bookmarkStart w:id="10" w:name="_MON_1608127244"/>
      <w:bookmarkStart w:id="11" w:name="_MON_1608124980"/>
      <w:bookmarkStart w:id="12" w:name="_MON_1608125062"/>
      <w:bookmarkStart w:id="13" w:name="_MON_1608125088"/>
      <w:bookmarkStart w:id="14" w:name="_MON_1608125406"/>
      <w:bookmarkStart w:id="15" w:name="_MON_1609599545"/>
      <w:bookmarkStart w:id="16" w:name="_MON_1609599605"/>
      <w:bookmarkStart w:id="17" w:name="_MON_160812542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DB57FEB" w14:textId="77777777" w:rsidR="00536EAA" w:rsidRPr="00D360F1" w:rsidRDefault="00536EAA" w:rsidP="00536EAA">
      <w:pPr>
        <w:ind w:left="360"/>
        <w:jc w:val="both"/>
        <w:rPr>
          <w:sz w:val="16"/>
          <w:szCs w:val="16"/>
        </w:rPr>
      </w:pPr>
      <w:r w:rsidRPr="00D360F1">
        <w:rPr>
          <w:sz w:val="18"/>
          <w:szCs w:val="16"/>
        </w:rPr>
        <w:t>*</w:t>
      </w:r>
      <w:r w:rsidRPr="00D360F1">
        <w:rPr>
          <w:sz w:val="16"/>
          <w:szCs w:val="16"/>
        </w:rPr>
        <w:t xml:space="preserve"> </w:t>
      </w:r>
      <w:r w:rsidRPr="00D360F1">
        <w:rPr>
          <w:sz w:val="18"/>
          <w:szCs w:val="16"/>
        </w:rPr>
        <w:t>Вкл. нетния прираст на държавния резерв</w:t>
      </w:r>
    </w:p>
    <w:p w14:paraId="36F967FD" w14:textId="77777777" w:rsidR="005B6C1F" w:rsidRDefault="005B6C1F" w:rsidP="00E863AA">
      <w:pPr>
        <w:jc w:val="both"/>
        <w:rPr>
          <w:lang w:val="ru-RU"/>
        </w:rPr>
      </w:pPr>
    </w:p>
    <w:p w14:paraId="19171414" w14:textId="77777777" w:rsidR="00536EAA" w:rsidRDefault="00536EAA" w:rsidP="00E863AA">
      <w:pPr>
        <w:jc w:val="both"/>
        <w:rPr>
          <w:lang w:val="ru-RU"/>
        </w:rPr>
      </w:pPr>
    </w:p>
    <w:p w14:paraId="2569FB77" w14:textId="77777777" w:rsidR="00536EAA" w:rsidRPr="00093D60" w:rsidRDefault="00536EAA" w:rsidP="00E863AA">
      <w:pPr>
        <w:jc w:val="both"/>
        <w:rPr>
          <w:lang w:val="ru-RU"/>
        </w:rPr>
      </w:pPr>
    </w:p>
    <w:p w14:paraId="6DE0C08C" w14:textId="77777777" w:rsidR="0010424C" w:rsidRPr="00093D60" w:rsidRDefault="0010424C" w:rsidP="0010424C">
      <w:pPr>
        <w:jc w:val="both"/>
      </w:pPr>
      <w:r w:rsidRPr="00093D60">
        <w:t>Изпълнението на основните показатели по консолидираната фискална програма за 2023 г. е представено в следната таблица:</w:t>
      </w:r>
    </w:p>
    <w:p w14:paraId="62479D2A" w14:textId="77777777" w:rsidR="0010424C" w:rsidRPr="00D56089" w:rsidRDefault="0010424C" w:rsidP="0010424C">
      <w:pPr>
        <w:jc w:val="both"/>
        <w:rPr>
          <w:color w:val="4F81BD" w:themeColor="accent1"/>
          <w:sz w:val="4"/>
          <w:szCs w:val="4"/>
        </w:rPr>
      </w:pPr>
    </w:p>
    <w:p w14:paraId="70653A15" w14:textId="77777777" w:rsidR="0010424C" w:rsidRPr="00093D60" w:rsidRDefault="0010424C" w:rsidP="0010424C">
      <w:pPr>
        <w:spacing w:before="120"/>
        <w:rPr>
          <w:b/>
          <w:i/>
          <w:sz w:val="18"/>
          <w:szCs w:val="18"/>
        </w:rPr>
      </w:pPr>
      <w:r w:rsidRPr="00093D60">
        <w:rPr>
          <w:b/>
          <w:i/>
          <w:sz w:val="22"/>
          <w:szCs w:val="22"/>
        </w:rPr>
        <w:t>Таблица</w:t>
      </w:r>
      <w:r w:rsidRPr="00093D60">
        <w:rPr>
          <w:b/>
          <w:i/>
          <w:sz w:val="22"/>
          <w:szCs w:val="22"/>
          <w:vertAlign w:val="superscript"/>
        </w:rPr>
        <w:footnoteReference w:id="3"/>
      </w:r>
      <w:r w:rsidRPr="00093D60">
        <w:rPr>
          <w:b/>
          <w:i/>
          <w:sz w:val="22"/>
          <w:szCs w:val="22"/>
        </w:rPr>
        <w:t xml:space="preserve"> №1</w:t>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Pr="00093D60">
        <w:rPr>
          <w:b/>
          <w:i/>
          <w:sz w:val="22"/>
          <w:szCs w:val="22"/>
        </w:rPr>
        <w:tab/>
      </w:r>
      <w:r w:rsidR="00735609" w:rsidRPr="00093D60">
        <w:rPr>
          <w:b/>
          <w:i/>
          <w:sz w:val="22"/>
          <w:szCs w:val="22"/>
        </w:rPr>
        <w:tab/>
      </w:r>
      <w:r w:rsidRPr="00093D60">
        <w:rPr>
          <w:b/>
          <w:i/>
          <w:sz w:val="18"/>
          <w:szCs w:val="18"/>
        </w:rPr>
        <w:t>(млн. лв.)</w:t>
      </w:r>
    </w:p>
    <w:tbl>
      <w:tblPr>
        <w:tblW w:w="10254" w:type="dxa"/>
        <w:tblInd w:w="98" w:type="dxa"/>
        <w:tblLook w:val="04A0" w:firstRow="1" w:lastRow="0" w:firstColumn="1" w:lastColumn="0" w:noHBand="0" w:noVBand="1"/>
      </w:tblPr>
      <w:tblGrid>
        <w:gridCol w:w="4250"/>
        <w:gridCol w:w="1147"/>
        <w:gridCol w:w="1227"/>
        <w:gridCol w:w="1222"/>
        <w:gridCol w:w="1199"/>
        <w:gridCol w:w="1209"/>
      </w:tblGrid>
      <w:tr w:rsidR="00D56089" w:rsidRPr="00D56089" w14:paraId="1BA8D97A" w14:textId="77777777" w:rsidTr="004B3567">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7672320F" w14:textId="77777777" w:rsidR="004948F2" w:rsidRPr="00093D60" w:rsidRDefault="004948F2" w:rsidP="004948F2">
            <w:pPr>
              <w:jc w:val="center"/>
              <w:rPr>
                <w:b/>
                <w:bCs/>
                <w:sz w:val="18"/>
                <w:szCs w:val="18"/>
              </w:rPr>
            </w:pPr>
            <w:r w:rsidRPr="00093D60">
              <w:rPr>
                <w:b/>
                <w:bCs/>
                <w:sz w:val="18"/>
                <w:szCs w:val="18"/>
              </w:rPr>
              <w:t>ПОКАЗАТЕЛ</w:t>
            </w:r>
          </w:p>
        </w:tc>
        <w:tc>
          <w:tcPr>
            <w:tcW w:w="1147" w:type="dxa"/>
            <w:tcBorders>
              <w:top w:val="single" w:sz="8" w:space="0" w:color="auto"/>
              <w:left w:val="single" w:sz="4" w:space="0" w:color="auto"/>
              <w:bottom w:val="nil"/>
              <w:right w:val="single" w:sz="4" w:space="0" w:color="auto"/>
            </w:tcBorders>
            <w:shd w:val="clear" w:color="000000" w:fill="D9D9D9"/>
            <w:noWrap/>
            <w:vAlign w:val="bottom"/>
            <w:hideMark/>
          </w:tcPr>
          <w:p w14:paraId="15F76229" w14:textId="77777777" w:rsidR="004948F2" w:rsidRPr="00093D60" w:rsidRDefault="004948F2" w:rsidP="004948F2">
            <w:pPr>
              <w:jc w:val="center"/>
              <w:rPr>
                <w:b/>
                <w:bCs/>
                <w:sz w:val="18"/>
                <w:szCs w:val="18"/>
                <w:highlight w:val="yellow"/>
              </w:rPr>
            </w:pPr>
            <w:r w:rsidRPr="00093D60">
              <w:rPr>
                <w:b/>
                <w:bCs/>
                <w:sz w:val="18"/>
                <w:szCs w:val="18"/>
              </w:rPr>
              <w:t>Разчет 20</w:t>
            </w:r>
            <w:r w:rsidRPr="00093D60">
              <w:rPr>
                <w:b/>
                <w:bCs/>
                <w:sz w:val="18"/>
                <w:szCs w:val="18"/>
                <w:lang w:val="en-US"/>
              </w:rPr>
              <w:t>2</w:t>
            </w:r>
            <w:r w:rsidRPr="00093D60">
              <w:rPr>
                <w:b/>
                <w:bCs/>
                <w:sz w:val="18"/>
                <w:szCs w:val="18"/>
              </w:rPr>
              <w:t>3 г.</w:t>
            </w:r>
            <w:r w:rsidRPr="00093D60">
              <w:rPr>
                <w:rStyle w:val="FootnoteReference"/>
                <w:b/>
                <w:bCs/>
                <w:sz w:val="18"/>
                <w:szCs w:val="18"/>
              </w:rPr>
              <w:footnoteReference w:id="4"/>
            </w:r>
          </w:p>
        </w:tc>
        <w:tc>
          <w:tcPr>
            <w:tcW w:w="364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4E7D8A59" w14:textId="77777777" w:rsidR="004948F2" w:rsidRPr="00093D60" w:rsidRDefault="004948F2" w:rsidP="00093D60">
            <w:pPr>
              <w:jc w:val="center"/>
              <w:rPr>
                <w:b/>
                <w:bCs/>
                <w:sz w:val="18"/>
                <w:szCs w:val="18"/>
              </w:rPr>
            </w:pPr>
            <w:r w:rsidRPr="00093D60">
              <w:rPr>
                <w:b/>
                <w:bCs/>
                <w:sz w:val="18"/>
                <w:szCs w:val="18"/>
              </w:rPr>
              <w:t xml:space="preserve">Отчет към </w:t>
            </w:r>
            <w:r w:rsidR="00093D60" w:rsidRPr="00093D60">
              <w:rPr>
                <w:b/>
                <w:bCs/>
                <w:sz w:val="18"/>
                <w:szCs w:val="18"/>
              </w:rPr>
              <w:t>31</w:t>
            </w:r>
            <w:r w:rsidRPr="00093D60">
              <w:rPr>
                <w:b/>
                <w:bCs/>
                <w:sz w:val="18"/>
                <w:szCs w:val="18"/>
              </w:rPr>
              <w:t>.</w:t>
            </w:r>
            <w:r w:rsidR="00093D60" w:rsidRPr="00093D60">
              <w:rPr>
                <w:b/>
                <w:bCs/>
                <w:sz w:val="18"/>
                <w:szCs w:val="18"/>
              </w:rPr>
              <w:t>12</w:t>
            </w:r>
            <w:r w:rsidRPr="00093D60">
              <w:rPr>
                <w:b/>
                <w:bCs/>
                <w:sz w:val="18"/>
                <w:szCs w:val="18"/>
              </w:rPr>
              <w:t>.20</w:t>
            </w:r>
            <w:r w:rsidRPr="00093D60">
              <w:rPr>
                <w:b/>
                <w:bCs/>
                <w:sz w:val="18"/>
                <w:szCs w:val="18"/>
                <w:lang w:val="en-US"/>
              </w:rPr>
              <w:t>2</w:t>
            </w:r>
            <w:r w:rsidRPr="00093D60">
              <w:rPr>
                <w:b/>
                <w:bCs/>
                <w:sz w:val="18"/>
                <w:szCs w:val="18"/>
              </w:rPr>
              <w:t>3 г.</w:t>
            </w:r>
          </w:p>
        </w:tc>
        <w:tc>
          <w:tcPr>
            <w:tcW w:w="1209" w:type="dxa"/>
            <w:tcBorders>
              <w:top w:val="single" w:sz="8" w:space="0" w:color="auto"/>
              <w:left w:val="nil"/>
              <w:bottom w:val="nil"/>
              <w:right w:val="single" w:sz="8" w:space="0" w:color="auto"/>
            </w:tcBorders>
            <w:shd w:val="clear" w:color="000000" w:fill="D9D9D9"/>
            <w:noWrap/>
            <w:vAlign w:val="bottom"/>
            <w:hideMark/>
          </w:tcPr>
          <w:p w14:paraId="41314ECD" w14:textId="77777777" w:rsidR="004948F2" w:rsidRPr="00093D60" w:rsidRDefault="004948F2" w:rsidP="004948F2">
            <w:pPr>
              <w:jc w:val="center"/>
              <w:rPr>
                <w:b/>
                <w:bCs/>
                <w:sz w:val="18"/>
                <w:szCs w:val="18"/>
              </w:rPr>
            </w:pPr>
            <w:r w:rsidRPr="00093D60">
              <w:rPr>
                <w:b/>
                <w:bCs/>
                <w:sz w:val="18"/>
                <w:szCs w:val="18"/>
              </w:rPr>
              <w:t>Изпълнение</w:t>
            </w:r>
          </w:p>
        </w:tc>
      </w:tr>
      <w:tr w:rsidR="00D56089" w:rsidRPr="00D56089" w14:paraId="2BCEA57E" w14:textId="77777777" w:rsidTr="004B3567">
        <w:trPr>
          <w:trHeight w:val="250"/>
        </w:trPr>
        <w:tc>
          <w:tcPr>
            <w:tcW w:w="4250" w:type="dxa"/>
            <w:vMerge/>
            <w:tcBorders>
              <w:top w:val="single" w:sz="8" w:space="0" w:color="auto"/>
              <w:left w:val="single" w:sz="8" w:space="0" w:color="auto"/>
              <w:bottom w:val="single" w:sz="4" w:space="0" w:color="000000"/>
              <w:right w:val="nil"/>
            </w:tcBorders>
            <w:vAlign w:val="center"/>
            <w:hideMark/>
          </w:tcPr>
          <w:p w14:paraId="37ABF057" w14:textId="77777777" w:rsidR="004948F2" w:rsidRPr="00093D60" w:rsidRDefault="004948F2" w:rsidP="004948F2">
            <w:pPr>
              <w:rPr>
                <w:b/>
                <w:bCs/>
                <w:sz w:val="18"/>
                <w:szCs w:val="18"/>
              </w:rPr>
            </w:pPr>
          </w:p>
        </w:tc>
        <w:tc>
          <w:tcPr>
            <w:tcW w:w="1147" w:type="dxa"/>
            <w:tcBorders>
              <w:top w:val="nil"/>
              <w:left w:val="single" w:sz="4" w:space="0" w:color="auto"/>
              <w:bottom w:val="single" w:sz="4" w:space="0" w:color="auto"/>
              <w:right w:val="single" w:sz="4" w:space="0" w:color="auto"/>
            </w:tcBorders>
            <w:shd w:val="clear" w:color="000000" w:fill="D9D9D9"/>
            <w:noWrap/>
            <w:vAlign w:val="bottom"/>
            <w:hideMark/>
          </w:tcPr>
          <w:p w14:paraId="5A301D55" w14:textId="77777777" w:rsidR="004948F2" w:rsidRPr="00093D60" w:rsidRDefault="004948F2" w:rsidP="004948F2">
            <w:pPr>
              <w:jc w:val="center"/>
              <w:rPr>
                <w:b/>
                <w:bCs/>
                <w:sz w:val="18"/>
                <w:szCs w:val="18"/>
              </w:rPr>
            </w:pPr>
            <w:r w:rsidRPr="00093D60">
              <w:rPr>
                <w:b/>
                <w:bCs/>
                <w:sz w:val="18"/>
                <w:szCs w:val="18"/>
              </w:rPr>
              <w:t xml:space="preserve"> КФП</w:t>
            </w:r>
          </w:p>
        </w:tc>
        <w:tc>
          <w:tcPr>
            <w:tcW w:w="1227" w:type="dxa"/>
            <w:tcBorders>
              <w:top w:val="nil"/>
              <w:left w:val="nil"/>
              <w:bottom w:val="single" w:sz="4" w:space="0" w:color="auto"/>
              <w:right w:val="single" w:sz="4" w:space="0" w:color="auto"/>
            </w:tcBorders>
            <w:shd w:val="clear" w:color="000000" w:fill="D9D9D9"/>
            <w:noWrap/>
            <w:vAlign w:val="bottom"/>
            <w:hideMark/>
          </w:tcPr>
          <w:p w14:paraId="02E23D05" w14:textId="77777777" w:rsidR="004948F2" w:rsidRPr="00B1631B" w:rsidRDefault="004948F2" w:rsidP="004948F2">
            <w:pPr>
              <w:jc w:val="center"/>
              <w:rPr>
                <w:b/>
                <w:bCs/>
                <w:sz w:val="18"/>
                <w:szCs w:val="18"/>
              </w:rPr>
            </w:pPr>
            <w:r w:rsidRPr="00B1631B">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14:paraId="3C4B94F3" w14:textId="77777777" w:rsidR="004948F2" w:rsidRPr="00B1631B" w:rsidRDefault="004948F2" w:rsidP="004948F2">
            <w:pPr>
              <w:jc w:val="center"/>
              <w:rPr>
                <w:b/>
                <w:bCs/>
                <w:sz w:val="18"/>
                <w:szCs w:val="18"/>
              </w:rPr>
            </w:pPr>
            <w:r w:rsidRPr="00B1631B">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3A9E0798" w14:textId="77777777" w:rsidR="004948F2" w:rsidRPr="00B1631B" w:rsidRDefault="004948F2" w:rsidP="004948F2">
            <w:pPr>
              <w:jc w:val="center"/>
              <w:rPr>
                <w:b/>
                <w:bCs/>
                <w:sz w:val="18"/>
                <w:szCs w:val="18"/>
              </w:rPr>
            </w:pPr>
            <w:r w:rsidRPr="00B1631B">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14:paraId="5B96307A" w14:textId="77777777" w:rsidR="004948F2" w:rsidRPr="00B1631B" w:rsidRDefault="00E22183" w:rsidP="004948F2">
            <w:pPr>
              <w:jc w:val="center"/>
              <w:rPr>
                <w:b/>
                <w:bCs/>
                <w:sz w:val="18"/>
                <w:szCs w:val="18"/>
              </w:rPr>
            </w:pPr>
            <w:r w:rsidRPr="00B1631B">
              <w:rPr>
                <w:b/>
                <w:bCs/>
                <w:sz w:val="18"/>
                <w:szCs w:val="18"/>
              </w:rPr>
              <w:t>спрямо разчет</w:t>
            </w:r>
          </w:p>
        </w:tc>
      </w:tr>
      <w:tr w:rsidR="00D56089" w:rsidRPr="00D56089" w14:paraId="7C4917ED" w14:textId="77777777" w:rsidTr="004B3567">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14:paraId="31AF9F34" w14:textId="77777777" w:rsidR="0010424C" w:rsidRPr="00093D60" w:rsidRDefault="0010424C" w:rsidP="000B330C">
            <w:pPr>
              <w:jc w:val="center"/>
              <w:rPr>
                <w:sz w:val="18"/>
                <w:szCs w:val="18"/>
              </w:rPr>
            </w:pPr>
            <w:r w:rsidRPr="00093D60">
              <w:rPr>
                <w:sz w:val="18"/>
                <w:szCs w:val="18"/>
              </w:rPr>
              <w:t>к.1</w:t>
            </w:r>
          </w:p>
        </w:tc>
        <w:tc>
          <w:tcPr>
            <w:tcW w:w="1147" w:type="dxa"/>
            <w:tcBorders>
              <w:top w:val="nil"/>
              <w:left w:val="single" w:sz="4" w:space="0" w:color="auto"/>
              <w:bottom w:val="single" w:sz="8" w:space="0" w:color="auto"/>
              <w:right w:val="single" w:sz="4" w:space="0" w:color="auto"/>
            </w:tcBorders>
            <w:shd w:val="clear" w:color="000000" w:fill="D9D9D9"/>
            <w:noWrap/>
            <w:vAlign w:val="bottom"/>
            <w:hideMark/>
          </w:tcPr>
          <w:p w14:paraId="397B4BDB" w14:textId="77777777" w:rsidR="0010424C" w:rsidRPr="00093D60" w:rsidRDefault="0010424C" w:rsidP="000B330C">
            <w:pPr>
              <w:jc w:val="center"/>
              <w:rPr>
                <w:bCs/>
                <w:sz w:val="18"/>
                <w:szCs w:val="18"/>
              </w:rPr>
            </w:pPr>
            <w:r w:rsidRPr="00093D60">
              <w:rPr>
                <w:bCs/>
                <w:sz w:val="18"/>
                <w:szCs w:val="18"/>
              </w:rPr>
              <w:t>к.2</w:t>
            </w:r>
          </w:p>
        </w:tc>
        <w:tc>
          <w:tcPr>
            <w:tcW w:w="1227" w:type="dxa"/>
            <w:tcBorders>
              <w:top w:val="nil"/>
              <w:left w:val="nil"/>
              <w:bottom w:val="single" w:sz="8" w:space="0" w:color="auto"/>
              <w:right w:val="single" w:sz="4" w:space="0" w:color="auto"/>
            </w:tcBorders>
            <w:shd w:val="clear" w:color="000000" w:fill="D9D9D9"/>
            <w:noWrap/>
            <w:vAlign w:val="bottom"/>
            <w:hideMark/>
          </w:tcPr>
          <w:p w14:paraId="4A19F2B7" w14:textId="77777777" w:rsidR="0010424C" w:rsidRPr="00B1631B" w:rsidRDefault="0010424C" w:rsidP="000B330C">
            <w:pPr>
              <w:jc w:val="center"/>
              <w:rPr>
                <w:sz w:val="18"/>
                <w:szCs w:val="18"/>
              </w:rPr>
            </w:pPr>
            <w:r w:rsidRPr="00B1631B">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14:paraId="60812E5F" w14:textId="77777777" w:rsidR="0010424C" w:rsidRPr="00B1631B" w:rsidRDefault="0010424C" w:rsidP="000B330C">
            <w:pPr>
              <w:jc w:val="center"/>
              <w:rPr>
                <w:sz w:val="18"/>
                <w:szCs w:val="18"/>
              </w:rPr>
            </w:pPr>
            <w:r w:rsidRPr="00B1631B">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56DCCED3" w14:textId="77777777" w:rsidR="0010424C" w:rsidRPr="00B1631B" w:rsidRDefault="0010424C" w:rsidP="000B330C">
            <w:pPr>
              <w:jc w:val="center"/>
              <w:rPr>
                <w:sz w:val="18"/>
                <w:szCs w:val="18"/>
              </w:rPr>
            </w:pPr>
            <w:r w:rsidRPr="00B1631B">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14:paraId="6FF74619" w14:textId="77777777" w:rsidR="0010424C" w:rsidRPr="00B1631B" w:rsidRDefault="0010424C" w:rsidP="000B330C">
            <w:pPr>
              <w:jc w:val="center"/>
              <w:rPr>
                <w:bCs/>
                <w:sz w:val="18"/>
                <w:szCs w:val="18"/>
              </w:rPr>
            </w:pPr>
            <w:r w:rsidRPr="00B1631B">
              <w:rPr>
                <w:bCs/>
                <w:sz w:val="18"/>
                <w:szCs w:val="18"/>
              </w:rPr>
              <w:t>к.6=к.3:к.2</w:t>
            </w:r>
          </w:p>
        </w:tc>
      </w:tr>
      <w:tr w:rsidR="00F25050" w:rsidRPr="00D56089" w14:paraId="2486AB9A" w14:textId="77777777" w:rsidTr="004B3567">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14:paraId="1B27E034" w14:textId="77777777" w:rsidR="00F25050" w:rsidRPr="00093D60" w:rsidRDefault="00F25050" w:rsidP="00F25050">
            <w:pPr>
              <w:rPr>
                <w:b/>
                <w:bCs/>
                <w:sz w:val="18"/>
                <w:szCs w:val="18"/>
              </w:rPr>
            </w:pPr>
            <w:r w:rsidRPr="00093D60">
              <w:rPr>
                <w:b/>
                <w:bCs/>
                <w:sz w:val="18"/>
                <w:szCs w:val="18"/>
              </w:rPr>
              <w:t>ПРИХОДИ, ПОМОЩИ И ДАРЕНИЯ</w:t>
            </w:r>
          </w:p>
        </w:tc>
        <w:tc>
          <w:tcPr>
            <w:tcW w:w="1147" w:type="dxa"/>
            <w:tcBorders>
              <w:top w:val="nil"/>
              <w:left w:val="single" w:sz="4" w:space="0" w:color="auto"/>
              <w:bottom w:val="nil"/>
              <w:right w:val="nil"/>
            </w:tcBorders>
            <w:shd w:val="clear" w:color="auto" w:fill="auto"/>
            <w:noWrap/>
            <w:vAlign w:val="bottom"/>
            <w:hideMark/>
          </w:tcPr>
          <w:p w14:paraId="63D0DD2A" w14:textId="77777777" w:rsidR="00F25050" w:rsidRPr="00093D60" w:rsidRDefault="00F25050" w:rsidP="00F25050">
            <w:pPr>
              <w:jc w:val="right"/>
              <w:rPr>
                <w:b/>
                <w:bCs/>
                <w:sz w:val="18"/>
                <w:szCs w:val="18"/>
              </w:rPr>
            </w:pPr>
            <w:r w:rsidRPr="00093D60">
              <w:rPr>
                <w:b/>
                <w:bCs/>
                <w:sz w:val="18"/>
                <w:szCs w:val="18"/>
              </w:rPr>
              <w:t>69 471,8</w:t>
            </w:r>
          </w:p>
        </w:tc>
        <w:tc>
          <w:tcPr>
            <w:tcW w:w="1227" w:type="dxa"/>
            <w:tcBorders>
              <w:top w:val="nil"/>
              <w:left w:val="nil"/>
              <w:bottom w:val="nil"/>
              <w:right w:val="nil"/>
            </w:tcBorders>
            <w:shd w:val="clear" w:color="auto" w:fill="auto"/>
            <w:noWrap/>
            <w:vAlign w:val="bottom"/>
            <w:hideMark/>
          </w:tcPr>
          <w:p w14:paraId="5EC18FE3" w14:textId="77777777" w:rsidR="00F25050" w:rsidRDefault="00F25050" w:rsidP="00F25050">
            <w:pPr>
              <w:jc w:val="right"/>
              <w:rPr>
                <w:b/>
                <w:bCs/>
                <w:sz w:val="18"/>
                <w:szCs w:val="18"/>
              </w:rPr>
            </w:pPr>
            <w:r>
              <w:rPr>
                <w:b/>
                <w:bCs/>
                <w:sz w:val="18"/>
                <w:szCs w:val="18"/>
              </w:rPr>
              <w:t>67 057,9</w:t>
            </w:r>
          </w:p>
        </w:tc>
        <w:tc>
          <w:tcPr>
            <w:tcW w:w="1222" w:type="dxa"/>
            <w:tcBorders>
              <w:top w:val="nil"/>
              <w:left w:val="nil"/>
              <w:bottom w:val="nil"/>
              <w:right w:val="nil"/>
            </w:tcBorders>
            <w:shd w:val="clear" w:color="auto" w:fill="auto"/>
            <w:noWrap/>
            <w:vAlign w:val="bottom"/>
            <w:hideMark/>
          </w:tcPr>
          <w:p w14:paraId="42B9EC6E" w14:textId="77777777" w:rsidR="00F25050" w:rsidRDefault="00F25050" w:rsidP="00F25050">
            <w:pPr>
              <w:jc w:val="right"/>
              <w:rPr>
                <w:b/>
                <w:bCs/>
                <w:color w:val="000000"/>
                <w:sz w:val="18"/>
                <w:szCs w:val="18"/>
              </w:rPr>
            </w:pPr>
            <w:r>
              <w:rPr>
                <w:b/>
                <w:bCs/>
                <w:color w:val="000000"/>
                <w:sz w:val="18"/>
                <w:szCs w:val="18"/>
              </w:rPr>
              <w:t>63 370,2</w:t>
            </w:r>
          </w:p>
        </w:tc>
        <w:tc>
          <w:tcPr>
            <w:tcW w:w="1199" w:type="dxa"/>
            <w:tcBorders>
              <w:top w:val="nil"/>
              <w:left w:val="nil"/>
              <w:bottom w:val="nil"/>
              <w:right w:val="nil"/>
            </w:tcBorders>
            <w:shd w:val="clear" w:color="auto" w:fill="auto"/>
            <w:noWrap/>
            <w:vAlign w:val="bottom"/>
            <w:hideMark/>
          </w:tcPr>
          <w:p w14:paraId="71B00030" w14:textId="77777777" w:rsidR="00F25050" w:rsidRDefault="00F25050" w:rsidP="00F25050">
            <w:pPr>
              <w:jc w:val="right"/>
              <w:rPr>
                <w:b/>
                <w:bCs/>
                <w:color w:val="000000"/>
                <w:sz w:val="18"/>
                <w:szCs w:val="18"/>
              </w:rPr>
            </w:pPr>
            <w:r>
              <w:rPr>
                <w:b/>
                <w:bCs/>
                <w:color w:val="000000"/>
                <w:sz w:val="18"/>
                <w:szCs w:val="18"/>
              </w:rPr>
              <w:t>3 687,7</w:t>
            </w:r>
          </w:p>
        </w:tc>
        <w:tc>
          <w:tcPr>
            <w:tcW w:w="1209" w:type="dxa"/>
            <w:tcBorders>
              <w:top w:val="single" w:sz="8" w:space="0" w:color="auto"/>
              <w:left w:val="nil"/>
              <w:bottom w:val="nil"/>
              <w:right w:val="single" w:sz="4" w:space="0" w:color="auto"/>
            </w:tcBorders>
            <w:shd w:val="clear" w:color="auto" w:fill="auto"/>
            <w:noWrap/>
            <w:vAlign w:val="bottom"/>
            <w:hideMark/>
          </w:tcPr>
          <w:p w14:paraId="0804358A" w14:textId="77777777" w:rsidR="00F25050" w:rsidRDefault="00F25050" w:rsidP="00F25050">
            <w:pPr>
              <w:jc w:val="right"/>
              <w:rPr>
                <w:b/>
                <w:bCs/>
                <w:sz w:val="18"/>
                <w:szCs w:val="18"/>
              </w:rPr>
            </w:pPr>
            <w:r>
              <w:rPr>
                <w:b/>
                <w:bCs/>
                <w:sz w:val="18"/>
                <w:szCs w:val="18"/>
              </w:rPr>
              <w:t>96,5%</w:t>
            </w:r>
          </w:p>
        </w:tc>
      </w:tr>
      <w:tr w:rsidR="00F25050" w:rsidRPr="00D56089" w14:paraId="5E8876B7" w14:textId="77777777"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5D71FCD3" w14:textId="77777777" w:rsidR="00F25050" w:rsidRPr="00093D60" w:rsidRDefault="00F25050" w:rsidP="00F25050">
            <w:pPr>
              <w:rPr>
                <w:sz w:val="18"/>
                <w:szCs w:val="18"/>
              </w:rPr>
            </w:pPr>
            <w:r w:rsidRPr="00093D60">
              <w:rPr>
                <w:sz w:val="18"/>
                <w:szCs w:val="18"/>
              </w:rPr>
              <w:t xml:space="preserve">  Данъчни приходи</w:t>
            </w:r>
          </w:p>
        </w:tc>
        <w:tc>
          <w:tcPr>
            <w:tcW w:w="1147" w:type="dxa"/>
            <w:tcBorders>
              <w:top w:val="nil"/>
              <w:left w:val="single" w:sz="4" w:space="0" w:color="auto"/>
              <w:bottom w:val="nil"/>
              <w:right w:val="nil"/>
            </w:tcBorders>
            <w:shd w:val="clear" w:color="auto" w:fill="auto"/>
            <w:noWrap/>
            <w:vAlign w:val="bottom"/>
            <w:hideMark/>
          </w:tcPr>
          <w:p w14:paraId="78FD083C" w14:textId="77777777" w:rsidR="00F25050" w:rsidRPr="00093D60" w:rsidRDefault="00F25050" w:rsidP="00F25050">
            <w:pPr>
              <w:jc w:val="right"/>
              <w:rPr>
                <w:sz w:val="18"/>
                <w:szCs w:val="18"/>
              </w:rPr>
            </w:pPr>
            <w:r w:rsidRPr="00093D60">
              <w:rPr>
                <w:sz w:val="18"/>
                <w:szCs w:val="18"/>
              </w:rPr>
              <w:t>53 166,0</w:t>
            </w:r>
          </w:p>
        </w:tc>
        <w:tc>
          <w:tcPr>
            <w:tcW w:w="1227" w:type="dxa"/>
            <w:tcBorders>
              <w:top w:val="nil"/>
              <w:left w:val="nil"/>
              <w:bottom w:val="nil"/>
              <w:right w:val="nil"/>
            </w:tcBorders>
            <w:shd w:val="clear" w:color="auto" w:fill="auto"/>
            <w:noWrap/>
            <w:vAlign w:val="bottom"/>
            <w:hideMark/>
          </w:tcPr>
          <w:p w14:paraId="1E31E0FB" w14:textId="77777777" w:rsidR="00F25050" w:rsidRDefault="00F25050" w:rsidP="00F25050">
            <w:pPr>
              <w:jc w:val="right"/>
              <w:rPr>
                <w:sz w:val="18"/>
                <w:szCs w:val="18"/>
              </w:rPr>
            </w:pPr>
            <w:r>
              <w:rPr>
                <w:sz w:val="18"/>
                <w:szCs w:val="18"/>
              </w:rPr>
              <w:t>52 324,2</w:t>
            </w:r>
          </w:p>
        </w:tc>
        <w:tc>
          <w:tcPr>
            <w:tcW w:w="1222" w:type="dxa"/>
            <w:tcBorders>
              <w:top w:val="nil"/>
              <w:left w:val="nil"/>
              <w:bottom w:val="nil"/>
              <w:right w:val="nil"/>
            </w:tcBorders>
            <w:shd w:val="clear" w:color="auto" w:fill="auto"/>
            <w:noWrap/>
            <w:vAlign w:val="bottom"/>
            <w:hideMark/>
          </w:tcPr>
          <w:p w14:paraId="7A90C855" w14:textId="77777777" w:rsidR="00F25050" w:rsidRDefault="00F25050" w:rsidP="00F25050">
            <w:pPr>
              <w:jc w:val="right"/>
              <w:rPr>
                <w:color w:val="000000"/>
                <w:sz w:val="18"/>
                <w:szCs w:val="18"/>
              </w:rPr>
            </w:pPr>
            <w:r>
              <w:rPr>
                <w:color w:val="000000"/>
                <w:sz w:val="18"/>
                <w:szCs w:val="18"/>
              </w:rPr>
              <w:t>52 324,2</w:t>
            </w:r>
          </w:p>
        </w:tc>
        <w:tc>
          <w:tcPr>
            <w:tcW w:w="1199" w:type="dxa"/>
            <w:tcBorders>
              <w:top w:val="nil"/>
              <w:left w:val="nil"/>
              <w:bottom w:val="nil"/>
              <w:right w:val="nil"/>
            </w:tcBorders>
            <w:shd w:val="clear" w:color="auto" w:fill="auto"/>
            <w:noWrap/>
            <w:vAlign w:val="bottom"/>
            <w:hideMark/>
          </w:tcPr>
          <w:p w14:paraId="1F626C34" w14:textId="3F417C2F" w:rsidR="00F25050" w:rsidRDefault="00F25050" w:rsidP="00F25050">
            <w:pPr>
              <w:jc w:val="right"/>
              <w:rPr>
                <w:color w:val="000000"/>
                <w:sz w:val="18"/>
                <w:szCs w:val="18"/>
              </w:rPr>
            </w:pPr>
          </w:p>
        </w:tc>
        <w:tc>
          <w:tcPr>
            <w:tcW w:w="1209" w:type="dxa"/>
            <w:tcBorders>
              <w:top w:val="nil"/>
              <w:left w:val="nil"/>
              <w:bottom w:val="nil"/>
              <w:right w:val="single" w:sz="4" w:space="0" w:color="auto"/>
            </w:tcBorders>
            <w:shd w:val="clear" w:color="auto" w:fill="auto"/>
            <w:noWrap/>
            <w:vAlign w:val="bottom"/>
            <w:hideMark/>
          </w:tcPr>
          <w:p w14:paraId="1DDDBC2B" w14:textId="77777777" w:rsidR="00F25050" w:rsidRDefault="00F25050" w:rsidP="00F25050">
            <w:pPr>
              <w:jc w:val="right"/>
              <w:rPr>
                <w:sz w:val="18"/>
                <w:szCs w:val="18"/>
              </w:rPr>
            </w:pPr>
            <w:r>
              <w:rPr>
                <w:sz w:val="18"/>
                <w:szCs w:val="18"/>
              </w:rPr>
              <w:t>98,4%</w:t>
            </w:r>
          </w:p>
        </w:tc>
      </w:tr>
      <w:tr w:rsidR="00F25050" w:rsidRPr="00D56089" w14:paraId="446C24E5" w14:textId="77777777"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43F340E" w14:textId="77777777" w:rsidR="00F25050" w:rsidRPr="00093D60" w:rsidRDefault="00F25050" w:rsidP="00F25050">
            <w:pPr>
              <w:rPr>
                <w:sz w:val="18"/>
                <w:szCs w:val="18"/>
              </w:rPr>
            </w:pPr>
            <w:r w:rsidRPr="00093D60">
              <w:rPr>
                <w:sz w:val="18"/>
                <w:szCs w:val="18"/>
              </w:rPr>
              <w:t xml:space="preserve">  Неданъчни приходи</w:t>
            </w:r>
          </w:p>
        </w:tc>
        <w:tc>
          <w:tcPr>
            <w:tcW w:w="1147" w:type="dxa"/>
            <w:tcBorders>
              <w:top w:val="nil"/>
              <w:left w:val="single" w:sz="4" w:space="0" w:color="auto"/>
              <w:bottom w:val="nil"/>
              <w:right w:val="nil"/>
            </w:tcBorders>
            <w:shd w:val="clear" w:color="auto" w:fill="auto"/>
            <w:noWrap/>
            <w:vAlign w:val="bottom"/>
            <w:hideMark/>
          </w:tcPr>
          <w:p w14:paraId="77BCD44D" w14:textId="77777777" w:rsidR="00F25050" w:rsidRPr="00093D60" w:rsidRDefault="00F25050" w:rsidP="00F25050">
            <w:pPr>
              <w:jc w:val="right"/>
              <w:rPr>
                <w:sz w:val="18"/>
                <w:szCs w:val="18"/>
              </w:rPr>
            </w:pPr>
            <w:r w:rsidRPr="00093D60">
              <w:rPr>
                <w:sz w:val="18"/>
                <w:szCs w:val="18"/>
              </w:rPr>
              <w:t>11 152,2</w:t>
            </w:r>
          </w:p>
        </w:tc>
        <w:tc>
          <w:tcPr>
            <w:tcW w:w="1227" w:type="dxa"/>
            <w:tcBorders>
              <w:top w:val="nil"/>
              <w:left w:val="nil"/>
              <w:bottom w:val="nil"/>
              <w:right w:val="nil"/>
            </w:tcBorders>
            <w:shd w:val="clear" w:color="auto" w:fill="auto"/>
            <w:noWrap/>
            <w:vAlign w:val="bottom"/>
            <w:hideMark/>
          </w:tcPr>
          <w:p w14:paraId="2229784C" w14:textId="77777777" w:rsidR="00F25050" w:rsidRDefault="00F25050" w:rsidP="00F25050">
            <w:pPr>
              <w:jc w:val="right"/>
              <w:rPr>
                <w:sz w:val="18"/>
                <w:szCs w:val="18"/>
              </w:rPr>
            </w:pPr>
            <w:r>
              <w:rPr>
                <w:sz w:val="18"/>
                <w:szCs w:val="18"/>
              </w:rPr>
              <w:t>10 903,6</w:t>
            </w:r>
          </w:p>
        </w:tc>
        <w:tc>
          <w:tcPr>
            <w:tcW w:w="1222" w:type="dxa"/>
            <w:tcBorders>
              <w:top w:val="nil"/>
              <w:left w:val="nil"/>
              <w:bottom w:val="nil"/>
              <w:right w:val="nil"/>
            </w:tcBorders>
            <w:shd w:val="clear" w:color="auto" w:fill="auto"/>
            <w:noWrap/>
            <w:vAlign w:val="bottom"/>
            <w:hideMark/>
          </w:tcPr>
          <w:p w14:paraId="2BF8CBDC" w14:textId="77777777" w:rsidR="00F25050" w:rsidRDefault="00F25050" w:rsidP="00F25050">
            <w:pPr>
              <w:jc w:val="right"/>
              <w:rPr>
                <w:color w:val="000000"/>
                <w:sz w:val="18"/>
                <w:szCs w:val="18"/>
              </w:rPr>
            </w:pPr>
            <w:r>
              <w:rPr>
                <w:color w:val="000000"/>
                <w:sz w:val="18"/>
                <w:szCs w:val="18"/>
              </w:rPr>
              <w:t>10 913,8</w:t>
            </w:r>
          </w:p>
        </w:tc>
        <w:tc>
          <w:tcPr>
            <w:tcW w:w="1199" w:type="dxa"/>
            <w:tcBorders>
              <w:top w:val="nil"/>
              <w:left w:val="nil"/>
              <w:bottom w:val="nil"/>
              <w:right w:val="nil"/>
            </w:tcBorders>
            <w:shd w:val="clear" w:color="auto" w:fill="auto"/>
            <w:noWrap/>
            <w:vAlign w:val="bottom"/>
            <w:hideMark/>
          </w:tcPr>
          <w:p w14:paraId="02B17F02" w14:textId="77777777" w:rsidR="00F25050" w:rsidRDefault="00F25050" w:rsidP="00F25050">
            <w:pPr>
              <w:jc w:val="right"/>
              <w:rPr>
                <w:color w:val="000000"/>
                <w:sz w:val="18"/>
                <w:szCs w:val="18"/>
              </w:rPr>
            </w:pPr>
            <w:r>
              <w:rPr>
                <w:color w:val="000000"/>
                <w:sz w:val="18"/>
                <w:szCs w:val="18"/>
              </w:rPr>
              <w:t>-10,2</w:t>
            </w:r>
          </w:p>
        </w:tc>
        <w:tc>
          <w:tcPr>
            <w:tcW w:w="1209" w:type="dxa"/>
            <w:tcBorders>
              <w:top w:val="nil"/>
              <w:left w:val="nil"/>
              <w:bottom w:val="nil"/>
              <w:right w:val="single" w:sz="4" w:space="0" w:color="auto"/>
            </w:tcBorders>
            <w:shd w:val="clear" w:color="auto" w:fill="auto"/>
            <w:noWrap/>
            <w:vAlign w:val="bottom"/>
            <w:hideMark/>
          </w:tcPr>
          <w:p w14:paraId="6E621929" w14:textId="77777777" w:rsidR="00F25050" w:rsidRDefault="00F25050" w:rsidP="00F25050">
            <w:pPr>
              <w:jc w:val="right"/>
              <w:rPr>
                <w:sz w:val="18"/>
                <w:szCs w:val="18"/>
              </w:rPr>
            </w:pPr>
            <w:r>
              <w:rPr>
                <w:sz w:val="18"/>
                <w:szCs w:val="18"/>
              </w:rPr>
              <w:t>97,8%</w:t>
            </w:r>
          </w:p>
        </w:tc>
      </w:tr>
      <w:tr w:rsidR="00F25050" w:rsidRPr="00D56089" w14:paraId="04E1AEF2" w14:textId="77777777" w:rsidTr="00A909B5">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03D03E6F" w14:textId="77777777" w:rsidR="00F25050" w:rsidRPr="00093D60" w:rsidRDefault="00F25050" w:rsidP="00F25050">
            <w:pPr>
              <w:rPr>
                <w:sz w:val="18"/>
                <w:szCs w:val="18"/>
              </w:rPr>
            </w:pPr>
            <w:r w:rsidRPr="00093D60">
              <w:rPr>
                <w:sz w:val="18"/>
                <w:szCs w:val="18"/>
              </w:rPr>
              <w:t xml:space="preserve">  Помощи и дарения</w:t>
            </w:r>
          </w:p>
        </w:tc>
        <w:tc>
          <w:tcPr>
            <w:tcW w:w="1147" w:type="dxa"/>
            <w:tcBorders>
              <w:top w:val="nil"/>
              <w:left w:val="single" w:sz="4" w:space="0" w:color="auto"/>
              <w:bottom w:val="single" w:sz="4" w:space="0" w:color="auto"/>
              <w:right w:val="nil"/>
            </w:tcBorders>
            <w:shd w:val="clear" w:color="auto" w:fill="auto"/>
            <w:noWrap/>
            <w:vAlign w:val="bottom"/>
            <w:hideMark/>
          </w:tcPr>
          <w:p w14:paraId="66F7E89C" w14:textId="77777777" w:rsidR="00F25050" w:rsidRPr="00093D60" w:rsidRDefault="00F25050" w:rsidP="00F25050">
            <w:pPr>
              <w:jc w:val="right"/>
              <w:rPr>
                <w:sz w:val="18"/>
                <w:szCs w:val="18"/>
              </w:rPr>
            </w:pPr>
            <w:r w:rsidRPr="00093D60">
              <w:rPr>
                <w:sz w:val="18"/>
                <w:szCs w:val="18"/>
              </w:rPr>
              <w:t>5 153,6</w:t>
            </w:r>
          </w:p>
        </w:tc>
        <w:tc>
          <w:tcPr>
            <w:tcW w:w="1227" w:type="dxa"/>
            <w:tcBorders>
              <w:top w:val="nil"/>
              <w:left w:val="nil"/>
              <w:bottom w:val="single" w:sz="4" w:space="0" w:color="auto"/>
              <w:right w:val="nil"/>
            </w:tcBorders>
            <w:shd w:val="clear" w:color="auto" w:fill="auto"/>
            <w:noWrap/>
            <w:vAlign w:val="bottom"/>
            <w:hideMark/>
          </w:tcPr>
          <w:p w14:paraId="4FA3A307" w14:textId="77777777" w:rsidR="00F25050" w:rsidRDefault="00F25050" w:rsidP="00F25050">
            <w:pPr>
              <w:jc w:val="right"/>
              <w:rPr>
                <w:sz w:val="18"/>
                <w:szCs w:val="18"/>
              </w:rPr>
            </w:pPr>
            <w:r>
              <w:rPr>
                <w:sz w:val="18"/>
                <w:szCs w:val="18"/>
              </w:rPr>
              <w:t>3 830,1</w:t>
            </w:r>
          </w:p>
        </w:tc>
        <w:tc>
          <w:tcPr>
            <w:tcW w:w="1222" w:type="dxa"/>
            <w:tcBorders>
              <w:top w:val="nil"/>
              <w:left w:val="nil"/>
              <w:bottom w:val="single" w:sz="4" w:space="0" w:color="auto"/>
              <w:right w:val="nil"/>
            </w:tcBorders>
            <w:shd w:val="clear" w:color="auto" w:fill="auto"/>
            <w:noWrap/>
            <w:vAlign w:val="bottom"/>
            <w:hideMark/>
          </w:tcPr>
          <w:p w14:paraId="53B23522" w14:textId="77777777" w:rsidR="00F25050" w:rsidRDefault="00F25050" w:rsidP="00F25050">
            <w:pPr>
              <w:jc w:val="right"/>
              <w:rPr>
                <w:color w:val="000000"/>
                <w:sz w:val="18"/>
                <w:szCs w:val="18"/>
              </w:rPr>
            </w:pPr>
            <w:r>
              <w:rPr>
                <w:color w:val="000000"/>
                <w:sz w:val="18"/>
                <w:szCs w:val="18"/>
              </w:rPr>
              <w:t>132,2</w:t>
            </w:r>
          </w:p>
        </w:tc>
        <w:tc>
          <w:tcPr>
            <w:tcW w:w="1199" w:type="dxa"/>
            <w:tcBorders>
              <w:top w:val="nil"/>
              <w:left w:val="nil"/>
              <w:bottom w:val="single" w:sz="4" w:space="0" w:color="auto"/>
              <w:right w:val="nil"/>
            </w:tcBorders>
            <w:shd w:val="clear" w:color="auto" w:fill="auto"/>
            <w:noWrap/>
            <w:vAlign w:val="bottom"/>
            <w:hideMark/>
          </w:tcPr>
          <w:p w14:paraId="76AD4146" w14:textId="77777777" w:rsidR="00F25050" w:rsidRDefault="00F25050" w:rsidP="00F25050">
            <w:pPr>
              <w:jc w:val="right"/>
              <w:rPr>
                <w:color w:val="000000"/>
                <w:sz w:val="18"/>
                <w:szCs w:val="18"/>
              </w:rPr>
            </w:pPr>
            <w:r>
              <w:rPr>
                <w:color w:val="000000"/>
                <w:sz w:val="18"/>
                <w:szCs w:val="18"/>
              </w:rPr>
              <w:t>3 697,9</w:t>
            </w:r>
          </w:p>
        </w:tc>
        <w:tc>
          <w:tcPr>
            <w:tcW w:w="1209" w:type="dxa"/>
            <w:tcBorders>
              <w:top w:val="nil"/>
              <w:left w:val="nil"/>
              <w:bottom w:val="single" w:sz="4" w:space="0" w:color="auto"/>
              <w:right w:val="single" w:sz="4" w:space="0" w:color="auto"/>
            </w:tcBorders>
            <w:shd w:val="clear" w:color="auto" w:fill="auto"/>
            <w:noWrap/>
            <w:vAlign w:val="bottom"/>
            <w:hideMark/>
          </w:tcPr>
          <w:p w14:paraId="6FAE1828" w14:textId="77777777" w:rsidR="00F25050" w:rsidRDefault="00F25050" w:rsidP="00F25050">
            <w:pPr>
              <w:jc w:val="right"/>
              <w:rPr>
                <w:sz w:val="18"/>
                <w:szCs w:val="18"/>
              </w:rPr>
            </w:pPr>
            <w:r>
              <w:rPr>
                <w:sz w:val="18"/>
                <w:szCs w:val="18"/>
              </w:rPr>
              <w:t>74,3%</w:t>
            </w:r>
          </w:p>
        </w:tc>
      </w:tr>
      <w:tr w:rsidR="00F25050" w:rsidRPr="00D56089" w14:paraId="5E8EAEFA" w14:textId="77777777" w:rsidTr="00095288">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14:paraId="6101297E" w14:textId="77777777" w:rsidR="00F25050" w:rsidRPr="00093D60" w:rsidRDefault="00F25050" w:rsidP="00F25050">
            <w:pPr>
              <w:rPr>
                <w:b/>
                <w:bCs/>
                <w:sz w:val="18"/>
                <w:szCs w:val="18"/>
              </w:rPr>
            </w:pPr>
            <w:r w:rsidRPr="00093D60">
              <w:rPr>
                <w:b/>
                <w:bCs/>
                <w:sz w:val="18"/>
                <w:szCs w:val="18"/>
              </w:rPr>
              <w:t>РАЗХОДИ И ВНОСКА ЗА ОБЩИЯ БЮДЖЕТ НА ЕС</w:t>
            </w:r>
          </w:p>
        </w:tc>
        <w:tc>
          <w:tcPr>
            <w:tcW w:w="1147" w:type="dxa"/>
            <w:tcBorders>
              <w:top w:val="single" w:sz="4" w:space="0" w:color="auto"/>
              <w:left w:val="single" w:sz="4" w:space="0" w:color="auto"/>
              <w:bottom w:val="nil"/>
              <w:right w:val="nil"/>
            </w:tcBorders>
            <w:shd w:val="clear" w:color="auto" w:fill="auto"/>
            <w:noWrap/>
            <w:vAlign w:val="bottom"/>
            <w:hideMark/>
          </w:tcPr>
          <w:p w14:paraId="04A1ADBB" w14:textId="77777777" w:rsidR="00F25050" w:rsidRPr="00093D60" w:rsidRDefault="00F25050" w:rsidP="00F25050">
            <w:pPr>
              <w:jc w:val="right"/>
              <w:rPr>
                <w:b/>
                <w:bCs/>
                <w:sz w:val="18"/>
                <w:szCs w:val="18"/>
              </w:rPr>
            </w:pPr>
            <w:r w:rsidRPr="00093D60">
              <w:rPr>
                <w:b/>
                <w:bCs/>
                <w:sz w:val="18"/>
                <w:szCs w:val="18"/>
              </w:rPr>
              <w:t>74 051,8</w:t>
            </w:r>
          </w:p>
        </w:tc>
        <w:tc>
          <w:tcPr>
            <w:tcW w:w="1227" w:type="dxa"/>
            <w:tcBorders>
              <w:top w:val="nil"/>
              <w:left w:val="nil"/>
              <w:bottom w:val="nil"/>
              <w:right w:val="nil"/>
            </w:tcBorders>
            <w:shd w:val="clear" w:color="auto" w:fill="auto"/>
            <w:noWrap/>
            <w:vAlign w:val="bottom"/>
            <w:hideMark/>
          </w:tcPr>
          <w:p w14:paraId="49928213" w14:textId="77777777" w:rsidR="00F25050" w:rsidRDefault="00F25050" w:rsidP="00F25050">
            <w:pPr>
              <w:jc w:val="right"/>
              <w:rPr>
                <w:b/>
                <w:bCs/>
                <w:sz w:val="18"/>
                <w:szCs w:val="18"/>
              </w:rPr>
            </w:pPr>
            <w:r>
              <w:rPr>
                <w:b/>
                <w:bCs/>
                <w:sz w:val="18"/>
                <w:szCs w:val="18"/>
              </w:rPr>
              <w:t>72 677,3</w:t>
            </w:r>
          </w:p>
        </w:tc>
        <w:tc>
          <w:tcPr>
            <w:tcW w:w="1222" w:type="dxa"/>
            <w:tcBorders>
              <w:top w:val="nil"/>
              <w:left w:val="nil"/>
              <w:bottom w:val="nil"/>
              <w:right w:val="nil"/>
            </w:tcBorders>
            <w:shd w:val="clear" w:color="auto" w:fill="auto"/>
            <w:noWrap/>
            <w:vAlign w:val="bottom"/>
            <w:hideMark/>
          </w:tcPr>
          <w:p w14:paraId="1494F403" w14:textId="77777777" w:rsidR="00F25050" w:rsidRDefault="00F25050" w:rsidP="00F25050">
            <w:pPr>
              <w:jc w:val="right"/>
              <w:rPr>
                <w:b/>
                <w:bCs/>
                <w:color w:val="000000"/>
                <w:sz w:val="18"/>
                <w:szCs w:val="18"/>
              </w:rPr>
            </w:pPr>
            <w:r>
              <w:rPr>
                <w:b/>
                <w:bCs/>
                <w:color w:val="000000"/>
                <w:sz w:val="18"/>
                <w:szCs w:val="18"/>
              </w:rPr>
              <w:t>67 407,9</w:t>
            </w:r>
          </w:p>
        </w:tc>
        <w:tc>
          <w:tcPr>
            <w:tcW w:w="1199" w:type="dxa"/>
            <w:tcBorders>
              <w:top w:val="nil"/>
              <w:left w:val="nil"/>
              <w:bottom w:val="nil"/>
              <w:right w:val="nil"/>
            </w:tcBorders>
            <w:shd w:val="clear" w:color="auto" w:fill="auto"/>
            <w:noWrap/>
            <w:vAlign w:val="bottom"/>
            <w:hideMark/>
          </w:tcPr>
          <w:p w14:paraId="3161DA27" w14:textId="77777777" w:rsidR="00F25050" w:rsidRDefault="00F25050" w:rsidP="00F25050">
            <w:pPr>
              <w:jc w:val="right"/>
              <w:rPr>
                <w:b/>
                <w:bCs/>
                <w:color w:val="000000"/>
                <w:sz w:val="18"/>
                <w:szCs w:val="18"/>
              </w:rPr>
            </w:pPr>
            <w:r>
              <w:rPr>
                <w:b/>
                <w:bCs/>
                <w:color w:val="000000"/>
                <w:sz w:val="18"/>
                <w:szCs w:val="18"/>
              </w:rPr>
              <w:t>5 269,3</w:t>
            </w:r>
          </w:p>
        </w:tc>
        <w:tc>
          <w:tcPr>
            <w:tcW w:w="1209" w:type="dxa"/>
            <w:tcBorders>
              <w:top w:val="nil"/>
              <w:left w:val="nil"/>
              <w:bottom w:val="nil"/>
              <w:right w:val="single" w:sz="4" w:space="0" w:color="auto"/>
            </w:tcBorders>
            <w:shd w:val="clear" w:color="auto" w:fill="auto"/>
            <w:noWrap/>
            <w:vAlign w:val="bottom"/>
            <w:hideMark/>
          </w:tcPr>
          <w:p w14:paraId="11FAD373" w14:textId="77777777" w:rsidR="00F25050" w:rsidRDefault="00F25050" w:rsidP="00F25050">
            <w:pPr>
              <w:jc w:val="right"/>
              <w:rPr>
                <w:b/>
                <w:bCs/>
                <w:sz w:val="18"/>
                <w:szCs w:val="18"/>
              </w:rPr>
            </w:pPr>
            <w:r>
              <w:rPr>
                <w:b/>
                <w:bCs/>
                <w:sz w:val="18"/>
                <w:szCs w:val="18"/>
              </w:rPr>
              <w:t>98,1%</w:t>
            </w:r>
          </w:p>
        </w:tc>
      </w:tr>
      <w:tr w:rsidR="00F25050" w:rsidRPr="00D56089" w14:paraId="67B5785C" w14:textId="77777777" w:rsidTr="00502EA5">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2DBA29C" w14:textId="77777777" w:rsidR="00F25050" w:rsidRPr="00093D60" w:rsidRDefault="00F25050" w:rsidP="00F25050">
            <w:pPr>
              <w:rPr>
                <w:sz w:val="18"/>
                <w:szCs w:val="18"/>
              </w:rPr>
            </w:pPr>
            <w:r w:rsidRPr="00093D60">
              <w:rPr>
                <w:sz w:val="18"/>
                <w:szCs w:val="18"/>
              </w:rPr>
              <w:t xml:space="preserve">  Нелихвени</w:t>
            </w:r>
          </w:p>
        </w:tc>
        <w:tc>
          <w:tcPr>
            <w:tcW w:w="1147" w:type="dxa"/>
            <w:tcBorders>
              <w:top w:val="nil"/>
              <w:left w:val="single" w:sz="4" w:space="0" w:color="auto"/>
              <w:bottom w:val="nil"/>
              <w:right w:val="nil"/>
            </w:tcBorders>
            <w:shd w:val="clear" w:color="auto" w:fill="auto"/>
            <w:noWrap/>
            <w:vAlign w:val="bottom"/>
            <w:hideMark/>
          </w:tcPr>
          <w:p w14:paraId="5EFA02D4" w14:textId="77777777" w:rsidR="00F25050" w:rsidRPr="00093D60" w:rsidRDefault="00F25050" w:rsidP="00F25050">
            <w:pPr>
              <w:jc w:val="right"/>
              <w:rPr>
                <w:sz w:val="18"/>
                <w:szCs w:val="18"/>
              </w:rPr>
            </w:pPr>
            <w:r w:rsidRPr="00093D60">
              <w:rPr>
                <w:sz w:val="18"/>
                <w:szCs w:val="18"/>
              </w:rPr>
              <w:t>70 848,8</w:t>
            </w:r>
          </w:p>
        </w:tc>
        <w:tc>
          <w:tcPr>
            <w:tcW w:w="1227" w:type="dxa"/>
            <w:tcBorders>
              <w:top w:val="nil"/>
              <w:left w:val="nil"/>
              <w:bottom w:val="nil"/>
              <w:right w:val="nil"/>
            </w:tcBorders>
            <w:shd w:val="clear" w:color="auto" w:fill="auto"/>
            <w:noWrap/>
            <w:vAlign w:val="bottom"/>
            <w:hideMark/>
          </w:tcPr>
          <w:p w14:paraId="384B55C9" w14:textId="77777777" w:rsidR="00F25050" w:rsidRDefault="00F25050" w:rsidP="00F25050">
            <w:pPr>
              <w:jc w:val="right"/>
              <w:rPr>
                <w:sz w:val="18"/>
                <w:szCs w:val="18"/>
              </w:rPr>
            </w:pPr>
            <w:r>
              <w:rPr>
                <w:sz w:val="18"/>
                <w:szCs w:val="18"/>
              </w:rPr>
              <w:t>69 996,7</w:t>
            </w:r>
          </w:p>
        </w:tc>
        <w:tc>
          <w:tcPr>
            <w:tcW w:w="1222" w:type="dxa"/>
            <w:tcBorders>
              <w:top w:val="nil"/>
              <w:left w:val="nil"/>
              <w:bottom w:val="nil"/>
              <w:right w:val="nil"/>
            </w:tcBorders>
            <w:shd w:val="clear" w:color="auto" w:fill="auto"/>
            <w:noWrap/>
            <w:vAlign w:val="bottom"/>
            <w:hideMark/>
          </w:tcPr>
          <w:p w14:paraId="3D26C089" w14:textId="77777777" w:rsidR="00F25050" w:rsidRDefault="00F25050" w:rsidP="00F25050">
            <w:pPr>
              <w:jc w:val="right"/>
              <w:rPr>
                <w:sz w:val="18"/>
                <w:szCs w:val="18"/>
              </w:rPr>
            </w:pPr>
            <w:r>
              <w:rPr>
                <w:sz w:val="18"/>
                <w:szCs w:val="18"/>
              </w:rPr>
              <w:t>64 727,4</w:t>
            </w:r>
          </w:p>
        </w:tc>
        <w:tc>
          <w:tcPr>
            <w:tcW w:w="1199" w:type="dxa"/>
            <w:tcBorders>
              <w:top w:val="nil"/>
              <w:left w:val="nil"/>
              <w:bottom w:val="nil"/>
              <w:right w:val="nil"/>
            </w:tcBorders>
            <w:shd w:val="clear" w:color="auto" w:fill="auto"/>
            <w:noWrap/>
            <w:vAlign w:val="bottom"/>
            <w:hideMark/>
          </w:tcPr>
          <w:p w14:paraId="12B50A4F" w14:textId="77777777" w:rsidR="00F25050" w:rsidRDefault="00F25050" w:rsidP="00F25050">
            <w:pPr>
              <w:jc w:val="right"/>
              <w:rPr>
                <w:sz w:val="18"/>
                <w:szCs w:val="18"/>
              </w:rPr>
            </w:pPr>
            <w:r>
              <w:rPr>
                <w:sz w:val="18"/>
                <w:szCs w:val="18"/>
              </w:rPr>
              <w:t>5 269,3</w:t>
            </w:r>
          </w:p>
        </w:tc>
        <w:tc>
          <w:tcPr>
            <w:tcW w:w="1209" w:type="dxa"/>
            <w:tcBorders>
              <w:top w:val="nil"/>
              <w:left w:val="nil"/>
              <w:bottom w:val="nil"/>
              <w:right w:val="single" w:sz="4" w:space="0" w:color="auto"/>
            </w:tcBorders>
            <w:shd w:val="clear" w:color="auto" w:fill="auto"/>
            <w:noWrap/>
            <w:vAlign w:val="bottom"/>
            <w:hideMark/>
          </w:tcPr>
          <w:p w14:paraId="46593790" w14:textId="77777777" w:rsidR="00F25050" w:rsidRDefault="00F25050" w:rsidP="00F25050">
            <w:pPr>
              <w:jc w:val="right"/>
              <w:rPr>
                <w:sz w:val="18"/>
                <w:szCs w:val="18"/>
              </w:rPr>
            </w:pPr>
            <w:r>
              <w:rPr>
                <w:sz w:val="18"/>
                <w:szCs w:val="18"/>
              </w:rPr>
              <w:t>98,8%</w:t>
            </w:r>
          </w:p>
        </w:tc>
      </w:tr>
      <w:tr w:rsidR="00F25050" w:rsidRPr="00D56089" w14:paraId="2F32F5FF" w14:textId="77777777" w:rsidTr="00502EA5">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7D75496" w14:textId="77777777" w:rsidR="00F25050" w:rsidRPr="00093D60" w:rsidRDefault="00F25050" w:rsidP="00F25050">
            <w:pPr>
              <w:rPr>
                <w:sz w:val="18"/>
                <w:szCs w:val="18"/>
              </w:rPr>
            </w:pPr>
            <w:r w:rsidRPr="00093D60">
              <w:rPr>
                <w:sz w:val="18"/>
                <w:szCs w:val="18"/>
              </w:rPr>
              <w:t xml:space="preserve">    Текущи</w:t>
            </w:r>
          </w:p>
        </w:tc>
        <w:tc>
          <w:tcPr>
            <w:tcW w:w="1147" w:type="dxa"/>
            <w:tcBorders>
              <w:top w:val="nil"/>
              <w:left w:val="single" w:sz="4" w:space="0" w:color="auto"/>
              <w:bottom w:val="nil"/>
              <w:right w:val="nil"/>
            </w:tcBorders>
            <w:shd w:val="clear" w:color="auto" w:fill="auto"/>
            <w:noWrap/>
            <w:vAlign w:val="bottom"/>
            <w:hideMark/>
          </w:tcPr>
          <w:p w14:paraId="5AD4DF4C" w14:textId="77777777" w:rsidR="00F25050" w:rsidRPr="00093D60" w:rsidRDefault="00F25050" w:rsidP="00F25050">
            <w:pPr>
              <w:jc w:val="right"/>
              <w:rPr>
                <w:sz w:val="18"/>
                <w:szCs w:val="18"/>
              </w:rPr>
            </w:pPr>
            <w:r w:rsidRPr="00093D60">
              <w:rPr>
                <w:sz w:val="18"/>
                <w:szCs w:val="18"/>
              </w:rPr>
              <w:t>62 694,2</w:t>
            </w:r>
          </w:p>
        </w:tc>
        <w:tc>
          <w:tcPr>
            <w:tcW w:w="1227" w:type="dxa"/>
            <w:tcBorders>
              <w:top w:val="nil"/>
              <w:left w:val="nil"/>
              <w:bottom w:val="nil"/>
              <w:right w:val="nil"/>
            </w:tcBorders>
            <w:shd w:val="clear" w:color="auto" w:fill="auto"/>
            <w:noWrap/>
            <w:vAlign w:val="bottom"/>
            <w:hideMark/>
          </w:tcPr>
          <w:p w14:paraId="33875A86" w14:textId="77777777" w:rsidR="00F25050" w:rsidRDefault="00F25050" w:rsidP="00F25050">
            <w:pPr>
              <w:jc w:val="right"/>
              <w:rPr>
                <w:sz w:val="18"/>
                <w:szCs w:val="18"/>
              </w:rPr>
            </w:pPr>
            <w:r>
              <w:rPr>
                <w:sz w:val="18"/>
                <w:szCs w:val="18"/>
              </w:rPr>
              <w:t>60 729,8</w:t>
            </w:r>
          </w:p>
        </w:tc>
        <w:tc>
          <w:tcPr>
            <w:tcW w:w="1222" w:type="dxa"/>
            <w:tcBorders>
              <w:top w:val="nil"/>
              <w:left w:val="nil"/>
              <w:bottom w:val="nil"/>
              <w:right w:val="nil"/>
            </w:tcBorders>
            <w:shd w:val="clear" w:color="auto" w:fill="auto"/>
            <w:noWrap/>
            <w:vAlign w:val="bottom"/>
            <w:hideMark/>
          </w:tcPr>
          <w:p w14:paraId="6AA8A071" w14:textId="77777777" w:rsidR="00F25050" w:rsidRDefault="00F25050" w:rsidP="00F25050">
            <w:pPr>
              <w:jc w:val="right"/>
              <w:rPr>
                <w:color w:val="000000"/>
                <w:sz w:val="18"/>
                <w:szCs w:val="18"/>
              </w:rPr>
            </w:pPr>
            <w:r>
              <w:rPr>
                <w:color w:val="000000"/>
                <w:sz w:val="18"/>
                <w:szCs w:val="18"/>
              </w:rPr>
              <w:t>58 595,5</w:t>
            </w:r>
          </w:p>
        </w:tc>
        <w:tc>
          <w:tcPr>
            <w:tcW w:w="1199" w:type="dxa"/>
            <w:tcBorders>
              <w:top w:val="nil"/>
              <w:left w:val="nil"/>
              <w:bottom w:val="nil"/>
              <w:right w:val="nil"/>
            </w:tcBorders>
            <w:shd w:val="clear" w:color="auto" w:fill="auto"/>
            <w:noWrap/>
            <w:vAlign w:val="bottom"/>
            <w:hideMark/>
          </w:tcPr>
          <w:p w14:paraId="6220001E" w14:textId="77777777" w:rsidR="00F25050" w:rsidRDefault="00F25050" w:rsidP="00F25050">
            <w:pPr>
              <w:jc w:val="right"/>
              <w:rPr>
                <w:color w:val="000000"/>
                <w:sz w:val="18"/>
                <w:szCs w:val="18"/>
              </w:rPr>
            </w:pPr>
            <w:r>
              <w:rPr>
                <w:color w:val="000000"/>
                <w:sz w:val="18"/>
                <w:szCs w:val="18"/>
              </w:rPr>
              <w:t>2 134,3</w:t>
            </w:r>
          </w:p>
        </w:tc>
        <w:tc>
          <w:tcPr>
            <w:tcW w:w="1209" w:type="dxa"/>
            <w:tcBorders>
              <w:top w:val="nil"/>
              <w:left w:val="nil"/>
              <w:bottom w:val="nil"/>
              <w:right w:val="single" w:sz="4" w:space="0" w:color="auto"/>
            </w:tcBorders>
            <w:shd w:val="clear" w:color="auto" w:fill="auto"/>
            <w:noWrap/>
            <w:vAlign w:val="bottom"/>
            <w:hideMark/>
          </w:tcPr>
          <w:p w14:paraId="00B15C6A" w14:textId="77777777" w:rsidR="00F25050" w:rsidRDefault="00F25050" w:rsidP="00F25050">
            <w:pPr>
              <w:jc w:val="right"/>
              <w:rPr>
                <w:sz w:val="18"/>
                <w:szCs w:val="18"/>
              </w:rPr>
            </w:pPr>
            <w:r>
              <w:rPr>
                <w:sz w:val="18"/>
                <w:szCs w:val="18"/>
              </w:rPr>
              <w:t>96,9%</w:t>
            </w:r>
          </w:p>
        </w:tc>
      </w:tr>
      <w:tr w:rsidR="00F25050" w:rsidRPr="00D56089" w14:paraId="554ACD5A" w14:textId="77777777" w:rsidTr="00095288">
        <w:trPr>
          <w:trHeight w:val="250"/>
        </w:trPr>
        <w:tc>
          <w:tcPr>
            <w:tcW w:w="4250" w:type="dxa"/>
            <w:tcBorders>
              <w:top w:val="nil"/>
              <w:left w:val="single" w:sz="8" w:space="0" w:color="auto"/>
              <w:bottom w:val="nil"/>
              <w:right w:val="single" w:sz="4" w:space="0" w:color="auto"/>
            </w:tcBorders>
            <w:shd w:val="clear" w:color="auto" w:fill="auto"/>
            <w:noWrap/>
            <w:vAlign w:val="bottom"/>
          </w:tcPr>
          <w:p w14:paraId="511406E9" w14:textId="77777777" w:rsidR="00F25050" w:rsidRPr="00093D60" w:rsidRDefault="00F25050" w:rsidP="00F25050">
            <w:pPr>
              <w:rPr>
                <w:sz w:val="18"/>
                <w:szCs w:val="18"/>
              </w:rPr>
            </w:pPr>
            <w:r w:rsidRPr="00093D60">
              <w:rPr>
                <w:sz w:val="18"/>
                <w:szCs w:val="18"/>
              </w:rPr>
              <w:t xml:space="preserve">    Предоставени тек. и капит. трансфери за чужбина</w:t>
            </w:r>
          </w:p>
        </w:tc>
        <w:tc>
          <w:tcPr>
            <w:tcW w:w="1147" w:type="dxa"/>
            <w:tcBorders>
              <w:top w:val="nil"/>
              <w:left w:val="single" w:sz="4" w:space="0" w:color="auto"/>
              <w:bottom w:val="nil"/>
              <w:right w:val="nil"/>
            </w:tcBorders>
            <w:shd w:val="clear" w:color="auto" w:fill="auto"/>
            <w:noWrap/>
            <w:vAlign w:val="bottom"/>
          </w:tcPr>
          <w:p w14:paraId="085A04BB" w14:textId="77777777" w:rsidR="00F25050" w:rsidRPr="00093D60" w:rsidRDefault="00F25050" w:rsidP="00F25050">
            <w:pPr>
              <w:jc w:val="right"/>
              <w:rPr>
                <w:sz w:val="18"/>
                <w:szCs w:val="18"/>
              </w:rPr>
            </w:pPr>
            <w:r w:rsidRPr="00093D60">
              <w:rPr>
                <w:sz w:val="18"/>
                <w:szCs w:val="18"/>
              </w:rPr>
              <w:t>20,7</w:t>
            </w:r>
          </w:p>
        </w:tc>
        <w:tc>
          <w:tcPr>
            <w:tcW w:w="1227" w:type="dxa"/>
            <w:tcBorders>
              <w:top w:val="nil"/>
              <w:left w:val="nil"/>
              <w:bottom w:val="nil"/>
              <w:right w:val="nil"/>
            </w:tcBorders>
            <w:shd w:val="clear" w:color="auto" w:fill="auto"/>
            <w:noWrap/>
            <w:vAlign w:val="bottom"/>
          </w:tcPr>
          <w:p w14:paraId="00744145" w14:textId="77777777" w:rsidR="00F25050" w:rsidRDefault="00F25050" w:rsidP="00F25050">
            <w:pPr>
              <w:jc w:val="right"/>
              <w:rPr>
                <w:sz w:val="18"/>
                <w:szCs w:val="18"/>
              </w:rPr>
            </w:pPr>
            <w:r>
              <w:rPr>
                <w:sz w:val="18"/>
                <w:szCs w:val="18"/>
              </w:rPr>
              <w:t>64,2</w:t>
            </w:r>
          </w:p>
        </w:tc>
        <w:tc>
          <w:tcPr>
            <w:tcW w:w="1222" w:type="dxa"/>
            <w:tcBorders>
              <w:top w:val="nil"/>
              <w:left w:val="nil"/>
              <w:bottom w:val="nil"/>
              <w:right w:val="nil"/>
            </w:tcBorders>
            <w:shd w:val="clear" w:color="auto" w:fill="auto"/>
            <w:noWrap/>
            <w:vAlign w:val="bottom"/>
          </w:tcPr>
          <w:p w14:paraId="06F8A48C" w14:textId="77777777" w:rsidR="00F25050" w:rsidRDefault="00F25050" w:rsidP="00F25050">
            <w:pPr>
              <w:jc w:val="right"/>
              <w:rPr>
                <w:color w:val="000000"/>
                <w:sz w:val="18"/>
                <w:szCs w:val="18"/>
              </w:rPr>
            </w:pPr>
            <w:r>
              <w:rPr>
                <w:color w:val="000000"/>
                <w:sz w:val="18"/>
                <w:szCs w:val="18"/>
              </w:rPr>
              <w:t>23,0</w:t>
            </w:r>
          </w:p>
        </w:tc>
        <w:tc>
          <w:tcPr>
            <w:tcW w:w="1199" w:type="dxa"/>
            <w:tcBorders>
              <w:top w:val="nil"/>
              <w:left w:val="nil"/>
              <w:bottom w:val="nil"/>
              <w:right w:val="nil"/>
            </w:tcBorders>
            <w:shd w:val="clear" w:color="auto" w:fill="auto"/>
            <w:noWrap/>
            <w:vAlign w:val="bottom"/>
          </w:tcPr>
          <w:p w14:paraId="0BCD5658" w14:textId="77777777" w:rsidR="00F25050" w:rsidRDefault="00F25050" w:rsidP="00F25050">
            <w:pPr>
              <w:jc w:val="right"/>
              <w:rPr>
                <w:color w:val="000000"/>
                <w:sz w:val="18"/>
                <w:szCs w:val="18"/>
              </w:rPr>
            </w:pPr>
            <w:r>
              <w:rPr>
                <w:color w:val="000000"/>
                <w:sz w:val="18"/>
                <w:szCs w:val="18"/>
              </w:rPr>
              <w:t>41,2</w:t>
            </w:r>
          </w:p>
        </w:tc>
        <w:tc>
          <w:tcPr>
            <w:tcW w:w="1209" w:type="dxa"/>
            <w:tcBorders>
              <w:top w:val="nil"/>
              <w:left w:val="nil"/>
              <w:bottom w:val="nil"/>
              <w:right w:val="single" w:sz="4" w:space="0" w:color="auto"/>
            </w:tcBorders>
            <w:shd w:val="clear" w:color="auto" w:fill="auto"/>
            <w:noWrap/>
            <w:vAlign w:val="bottom"/>
          </w:tcPr>
          <w:p w14:paraId="5F7637E2" w14:textId="77777777" w:rsidR="00F25050" w:rsidRDefault="00F25050" w:rsidP="00F25050">
            <w:pPr>
              <w:jc w:val="right"/>
              <w:rPr>
                <w:sz w:val="18"/>
                <w:szCs w:val="18"/>
              </w:rPr>
            </w:pPr>
            <w:r>
              <w:rPr>
                <w:sz w:val="18"/>
                <w:szCs w:val="18"/>
              </w:rPr>
              <w:t>310,1%</w:t>
            </w:r>
          </w:p>
        </w:tc>
      </w:tr>
      <w:tr w:rsidR="00C21265" w:rsidRPr="00D56089" w14:paraId="13C571EE" w14:textId="77777777"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1B4DB99" w14:textId="77777777" w:rsidR="00C21265" w:rsidRPr="00093D60" w:rsidRDefault="00C21265" w:rsidP="00C21265">
            <w:pPr>
              <w:rPr>
                <w:sz w:val="18"/>
                <w:szCs w:val="18"/>
              </w:rPr>
            </w:pPr>
            <w:r w:rsidRPr="00093D60">
              <w:rPr>
                <w:sz w:val="18"/>
                <w:szCs w:val="18"/>
              </w:rPr>
              <w:t xml:space="preserve">    Капиталови</w:t>
            </w:r>
          </w:p>
        </w:tc>
        <w:tc>
          <w:tcPr>
            <w:tcW w:w="1147" w:type="dxa"/>
            <w:tcBorders>
              <w:top w:val="nil"/>
              <w:left w:val="single" w:sz="4" w:space="0" w:color="auto"/>
              <w:bottom w:val="nil"/>
              <w:right w:val="nil"/>
            </w:tcBorders>
            <w:shd w:val="clear" w:color="auto" w:fill="auto"/>
            <w:noWrap/>
            <w:vAlign w:val="bottom"/>
            <w:hideMark/>
          </w:tcPr>
          <w:p w14:paraId="025957A0" w14:textId="77777777" w:rsidR="00C21265" w:rsidRPr="00093D60" w:rsidRDefault="00C21265" w:rsidP="00C21265">
            <w:pPr>
              <w:jc w:val="right"/>
              <w:rPr>
                <w:sz w:val="18"/>
                <w:szCs w:val="18"/>
              </w:rPr>
            </w:pPr>
            <w:r w:rsidRPr="00093D60">
              <w:rPr>
                <w:sz w:val="18"/>
                <w:szCs w:val="18"/>
              </w:rPr>
              <w:t>8 133,9</w:t>
            </w:r>
          </w:p>
        </w:tc>
        <w:tc>
          <w:tcPr>
            <w:tcW w:w="1227" w:type="dxa"/>
            <w:tcBorders>
              <w:top w:val="nil"/>
              <w:left w:val="nil"/>
              <w:bottom w:val="nil"/>
              <w:right w:val="nil"/>
            </w:tcBorders>
            <w:shd w:val="clear" w:color="auto" w:fill="auto"/>
            <w:noWrap/>
            <w:vAlign w:val="bottom"/>
            <w:hideMark/>
          </w:tcPr>
          <w:p w14:paraId="38833CD6" w14:textId="77777777" w:rsidR="00C21265" w:rsidRDefault="00C21265" w:rsidP="00C21265">
            <w:pPr>
              <w:jc w:val="right"/>
              <w:rPr>
                <w:sz w:val="18"/>
                <w:szCs w:val="18"/>
              </w:rPr>
            </w:pPr>
            <w:r>
              <w:rPr>
                <w:sz w:val="18"/>
                <w:szCs w:val="18"/>
              </w:rPr>
              <w:t>9 202,7</w:t>
            </w:r>
          </w:p>
        </w:tc>
        <w:tc>
          <w:tcPr>
            <w:tcW w:w="1222" w:type="dxa"/>
            <w:tcBorders>
              <w:top w:val="nil"/>
              <w:left w:val="nil"/>
              <w:bottom w:val="nil"/>
              <w:right w:val="nil"/>
            </w:tcBorders>
            <w:shd w:val="clear" w:color="auto" w:fill="auto"/>
            <w:noWrap/>
            <w:vAlign w:val="bottom"/>
            <w:hideMark/>
          </w:tcPr>
          <w:p w14:paraId="1DC1C1ED" w14:textId="77777777" w:rsidR="00C21265" w:rsidRDefault="00C21265" w:rsidP="00C21265">
            <w:pPr>
              <w:jc w:val="right"/>
              <w:rPr>
                <w:color w:val="000000"/>
                <w:sz w:val="18"/>
                <w:szCs w:val="18"/>
              </w:rPr>
            </w:pPr>
            <w:r>
              <w:rPr>
                <w:color w:val="000000"/>
                <w:sz w:val="18"/>
                <w:szCs w:val="18"/>
              </w:rPr>
              <w:t>6 108,8</w:t>
            </w:r>
          </w:p>
        </w:tc>
        <w:tc>
          <w:tcPr>
            <w:tcW w:w="1199" w:type="dxa"/>
            <w:tcBorders>
              <w:top w:val="nil"/>
              <w:left w:val="nil"/>
              <w:bottom w:val="nil"/>
              <w:right w:val="nil"/>
            </w:tcBorders>
            <w:shd w:val="clear" w:color="auto" w:fill="auto"/>
            <w:noWrap/>
            <w:vAlign w:val="bottom"/>
            <w:hideMark/>
          </w:tcPr>
          <w:p w14:paraId="2D3965F5" w14:textId="77777777" w:rsidR="00C21265" w:rsidRDefault="00C21265" w:rsidP="00C21265">
            <w:pPr>
              <w:jc w:val="right"/>
              <w:rPr>
                <w:color w:val="000000"/>
                <w:sz w:val="18"/>
                <w:szCs w:val="18"/>
              </w:rPr>
            </w:pPr>
            <w:r>
              <w:rPr>
                <w:color w:val="000000"/>
                <w:sz w:val="18"/>
                <w:szCs w:val="18"/>
              </w:rPr>
              <w:t>3 093,9</w:t>
            </w:r>
          </w:p>
        </w:tc>
        <w:tc>
          <w:tcPr>
            <w:tcW w:w="1209" w:type="dxa"/>
            <w:tcBorders>
              <w:top w:val="nil"/>
              <w:left w:val="nil"/>
              <w:bottom w:val="nil"/>
              <w:right w:val="single" w:sz="4" w:space="0" w:color="auto"/>
            </w:tcBorders>
            <w:shd w:val="clear" w:color="auto" w:fill="auto"/>
            <w:noWrap/>
            <w:vAlign w:val="bottom"/>
            <w:hideMark/>
          </w:tcPr>
          <w:p w14:paraId="0E093F13" w14:textId="77777777" w:rsidR="00C21265" w:rsidRDefault="00C21265" w:rsidP="00C21265">
            <w:pPr>
              <w:jc w:val="right"/>
              <w:rPr>
                <w:sz w:val="18"/>
                <w:szCs w:val="18"/>
              </w:rPr>
            </w:pPr>
            <w:r>
              <w:rPr>
                <w:sz w:val="18"/>
                <w:szCs w:val="18"/>
              </w:rPr>
              <w:t>113,1%</w:t>
            </w:r>
          </w:p>
        </w:tc>
      </w:tr>
      <w:tr w:rsidR="00C21265" w:rsidRPr="00D56089" w14:paraId="181636C0" w14:textId="77777777" w:rsidTr="00C72F1B">
        <w:trPr>
          <w:trHeight w:val="250"/>
        </w:trPr>
        <w:tc>
          <w:tcPr>
            <w:tcW w:w="4250" w:type="dxa"/>
            <w:tcBorders>
              <w:top w:val="nil"/>
              <w:left w:val="single" w:sz="8" w:space="0" w:color="auto"/>
              <w:right w:val="single" w:sz="4" w:space="0" w:color="auto"/>
            </w:tcBorders>
            <w:shd w:val="clear" w:color="auto" w:fill="auto"/>
            <w:noWrap/>
            <w:vAlign w:val="bottom"/>
            <w:hideMark/>
          </w:tcPr>
          <w:p w14:paraId="18B06984" w14:textId="77777777" w:rsidR="00C21265" w:rsidRPr="00093D60" w:rsidRDefault="00C21265" w:rsidP="00C21265">
            <w:pPr>
              <w:rPr>
                <w:sz w:val="18"/>
                <w:szCs w:val="18"/>
              </w:rPr>
            </w:pPr>
            <w:r w:rsidRPr="00093D60">
              <w:rPr>
                <w:sz w:val="18"/>
                <w:szCs w:val="18"/>
              </w:rPr>
              <w:t xml:space="preserve">           в т.ч. нетен прираст на държавния резерв</w:t>
            </w:r>
          </w:p>
        </w:tc>
        <w:tc>
          <w:tcPr>
            <w:tcW w:w="1147" w:type="dxa"/>
            <w:tcBorders>
              <w:top w:val="nil"/>
              <w:left w:val="single" w:sz="4" w:space="0" w:color="auto"/>
              <w:bottom w:val="nil"/>
              <w:right w:val="nil"/>
            </w:tcBorders>
            <w:shd w:val="clear" w:color="auto" w:fill="auto"/>
            <w:noWrap/>
            <w:vAlign w:val="bottom"/>
            <w:hideMark/>
          </w:tcPr>
          <w:p w14:paraId="42CCAD51" w14:textId="77777777" w:rsidR="00C21265" w:rsidRPr="00093D60" w:rsidRDefault="00C21265" w:rsidP="00C21265">
            <w:pPr>
              <w:jc w:val="right"/>
              <w:rPr>
                <w:sz w:val="18"/>
                <w:szCs w:val="18"/>
              </w:rPr>
            </w:pPr>
            <w:r w:rsidRPr="00093D60">
              <w:rPr>
                <w:sz w:val="18"/>
                <w:szCs w:val="18"/>
              </w:rPr>
              <w:t>31,3</w:t>
            </w:r>
          </w:p>
        </w:tc>
        <w:tc>
          <w:tcPr>
            <w:tcW w:w="1227" w:type="dxa"/>
            <w:tcBorders>
              <w:top w:val="nil"/>
              <w:left w:val="nil"/>
              <w:bottom w:val="nil"/>
              <w:right w:val="nil"/>
            </w:tcBorders>
            <w:shd w:val="clear" w:color="auto" w:fill="auto"/>
            <w:noWrap/>
            <w:vAlign w:val="bottom"/>
            <w:hideMark/>
          </w:tcPr>
          <w:p w14:paraId="4121D764" w14:textId="77777777" w:rsidR="00C21265" w:rsidRDefault="00C21265" w:rsidP="00C21265">
            <w:pPr>
              <w:jc w:val="right"/>
              <w:rPr>
                <w:sz w:val="18"/>
                <w:szCs w:val="18"/>
              </w:rPr>
            </w:pPr>
            <w:r>
              <w:rPr>
                <w:sz w:val="18"/>
                <w:szCs w:val="18"/>
              </w:rPr>
              <w:t>83,3</w:t>
            </w:r>
          </w:p>
        </w:tc>
        <w:tc>
          <w:tcPr>
            <w:tcW w:w="1222" w:type="dxa"/>
            <w:tcBorders>
              <w:top w:val="nil"/>
              <w:left w:val="nil"/>
              <w:bottom w:val="nil"/>
              <w:right w:val="nil"/>
            </w:tcBorders>
            <w:shd w:val="clear" w:color="auto" w:fill="auto"/>
            <w:noWrap/>
            <w:vAlign w:val="bottom"/>
            <w:hideMark/>
          </w:tcPr>
          <w:p w14:paraId="4A50DE6F" w14:textId="77777777" w:rsidR="00C21265" w:rsidRDefault="00C21265" w:rsidP="00C21265">
            <w:pPr>
              <w:jc w:val="right"/>
              <w:rPr>
                <w:color w:val="000000"/>
                <w:sz w:val="18"/>
                <w:szCs w:val="18"/>
              </w:rPr>
            </w:pPr>
            <w:r>
              <w:rPr>
                <w:color w:val="000000"/>
                <w:sz w:val="18"/>
                <w:szCs w:val="18"/>
              </w:rPr>
              <w:t>83,3</w:t>
            </w:r>
          </w:p>
        </w:tc>
        <w:tc>
          <w:tcPr>
            <w:tcW w:w="1199" w:type="dxa"/>
            <w:tcBorders>
              <w:top w:val="nil"/>
              <w:left w:val="nil"/>
              <w:bottom w:val="nil"/>
              <w:right w:val="nil"/>
            </w:tcBorders>
            <w:shd w:val="clear" w:color="auto" w:fill="auto"/>
            <w:noWrap/>
            <w:vAlign w:val="bottom"/>
          </w:tcPr>
          <w:p w14:paraId="1B7230A1" w14:textId="77777777" w:rsidR="00C21265" w:rsidRDefault="00C21265" w:rsidP="00C21265">
            <w:pPr>
              <w:jc w:val="right"/>
              <w:rPr>
                <w:color w:val="000000"/>
                <w:sz w:val="18"/>
                <w:szCs w:val="18"/>
              </w:rPr>
            </w:pPr>
          </w:p>
        </w:tc>
        <w:tc>
          <w:tcPr>
            <w:tcW w:w="1209" w:type="dxa"/>
            <w:tcBorders>
              <w:top w:val="nil"/>
              <w:left w:val="nil"/>
              <w:bottom w:val="nil"/>
              <w:right w:val="single" w:sz="4" w:space="0" w:color="auto"/>
            </w:tcBorders>
            <w:shd w:val="clear" w:color="auto" w:fill="auto"/>
            <w:noWrap/>
            <w:vAlign w:val="bottom"/>
          </w:tcPr>
          <w:p w14:paraId="06C03DF9" w14:textId="77777777" w:rsidR="00C21265" w:rsidRDefault="00C21265" w:rsidP="00C21265">
            <w:pPr>
              <w:jc w:val="right"/>
              <w:rPr>
                <w:sz w:val="18"/>
                <w:szCs w:val="18"/>
              </w:rPr>
            </w:pPr>
            <w:r>
              <w:rPr>
                <w:sz w:val="18"/>
                <w:szCs w:val="18"/>
              </w:rPr>
              <w:t>266,4%</w:t>
            </w:r>
          </w:p>
        </w:tc>
      </w:tr>
      <w:tr w:rsidR="00E01839" w:rsidRPr="00D56089" w14:paraId="53251AF0" w14:textId="77777777"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273F2D8E" w14:textId="77777777" w:rsidR="00E01839" w:rsidRPr="00093D60" w:rsidRDefault="00E01839" w:rsidP="00E01839">
            <w:pPr>
              <w:rPr>
                <w:sz w:val="18"/>
                <w:szCs w:val="18"/>
              </w:rPr>
            </w:pPr>
            <w:r w:rsidRPr="00093D60">
              <w:rPr>
                <w:sz w:val="18"/>
                <w:szCs w:val="18"/>
              </w:rPr>
              <w:t xml:space="preserve">  Лихвени</w:t>
            </w:r>
          </w:p>
        </w:tc>
        <w:tc>
          <w:tcPr>
            <w:tcW w:w="1147" w:type="dxa"/>
            <w:tcBorders>
              <w:top w:val="nil"/>
              <w:left w:val="single" w:sz="4" w:space="0" w:color="auto"/>
              <w:bottom w:val="nil"/>
              <w:right w:val="nil"/>
            </w:tcBorders>
            <w:shd w:val="clear" w:color="auto" w:fill="auto"/>
            <w:noWrap/>
            <w:vAlign w:val="bottom"/>
            <w:hideMark/>
          </w:tcPr>
          <w:p w14:paraId="3DC37734" w14:textId="77777777" w:rsidR="00E01839" w:rsidRPr="00093D60" w:rsidRDefault="00E01839" w:rsidP="00E01839">
            <w:pPr>
              <w:jc w:val="right"/>
              <w:rPr>
                <w:sz w:val="18"/>
                <w:szCs w:val="18"/>
              </w:rPr>
            </w:pPr>
            <w:r w:rsidRPr="00093D60">
              <w:rPr>
                <w:sz w:val="18"/>
                <w:szCs w:val="18"/>
              </w:rPr>
              <w:t>823,8</w:t>
            </w:r>
          </w:p>
        </w:tc>
        <w:tc>
          <w:tcPr>
            <w:tcW w:w="1227" w:type="dxa"/>
            <w:tcBorders>
              <w:top w:val="nil"/>
              <w:left w:val="nil"/>
              <w:bottom w:val="nil"/>
              <w:right w:val="nil"/>
            </w:tcBorders>
            <w:shd w:val="clear" w:color="auto" w:fill="auto"/>
            <w:noWrap/>
            <w:vAlign w:val="bottom"/>
            <w:hideMark/>
          </w:tcPr>
          <w:p w14:paraId="0EC0DED5" w14:textId="77777777" w:rsidR="00E01839" w:rsidRDefault="00E01839" w:rsidP="00E01839">
            <w:pPr>
              <w:jc w:val="right"/>
              <w:rPr>
                <w:sz w:val="18"/>
                <w:szCs w:val="18"/>
              </w:rPr>
            </w:pPr>
            <w:r>
              <w:rPr>
                <w:sz w:val="18"/>
                <w:szCs w:val="18"/>
              </w:rPr>
              <w:t>830,8</w:t>
            </w:r>
          </w:p>
        </w:tc>
        <w:tc>
          <w:tcPr>
            <w:tcW w:w="1222" w:type="dxa"/>
            <w:tcBorders>
              <w:top w:val="nil"/>
              <w:left w:val="nil"/>
              <w:bottom w:val="nil"/>
              <w:right w:val="nil"/>
            </w:tcBorders>
            <w:shd w:val="clear" w:color="auto" w:fill="auto"/>
            <w:noWrap/>
            <w:vAlign w:val="bottom"/>
            <w:hideMark/>
          </w:tcPr>
          <w:p w14:paraId="18315C29" w14:textId="77777777" w:rsidR="00E01839" w:rsidRDefault="00E01839" w:rsidP="00E01839">
            <w:pPr>
              <w:jc w:val="right"/>
              <w:rPr>
                <w:color w:val="000000"/>
                <w:sz w:val="18"/>
                <w:szCs w:val="18"/>
              </w:rPr>
            </w:pPr>
            <w:r>
              <w:rPr>
                <w:color w:val="000000"/>
                <w:sz w:val="18"/>
                <w:szCs w:val="18"/>
              </w:rPr>
              <w:t>830,7</w:t>
            </w:r>
          </w:p>
        </w:tc>
        <w:tc>
          <w:tcPr>
            <w:tcW w:w="1199" w:type="dxa"/>
            <w:tcBorders>
              <w:top w:val="nil"/>
              <w:left w:val="nil"/>
              <w:bottom w:val="nil"/>
              <w:right w:val="nil"/>
            </w:tcBorders>
            <w:shd w:val="clear" w:color="auto" w:fill="auto"/>
            <w:noWrap/>
            <w:vAlign w:val="bottom"/>
          </w:tcPr>
          <w:p w14:paraId="38A94F03" w14:textId="77777777" w:rsidR="00E01839" w:rsidRDefault="00E01839" w:rsidP="00E01839">
            <w:pPr>
              <w:jc w:val="right"/>
              <w:rPr>
                <w:color w:val="000000"/>
                <w:sz w:val="18"/>
                <w:szCs w:val="18"/>
              </w:rPr>
            </w:pPr>
            <w:r>
              <w:rPr>
                <w:color w:val="000000"/>
                <w:sz w:val="18"/>
                <w:szCs w:val="18"/>
              </w:rPr>
              <w:t>0,03</w:t>
            </w:r>
          </w:p>
        </w:tc>
        <w:tc>
          <w:tcPr>
            <w:tcW w:w="1209" w:type="dxa"/>
            <w:tcBorders>
              <w:top w:val="nil"/>
              <w:left w:val="nil"/>
              <w:bottom w:val="nil"/>
              <w:right w:val="single" w:sz="4" w:space="0" w:color="auto"/>
            </w:tcBorders>
            <w:shd w:val="clear" w:color="auto" w:fill="auto"/>
            <w:noWrap/>
            <w:vAlign w:val="bottom"/>
            <w:hideMark/>
          </w:tcPr>
          <w:p w14:paraId="5248EFD2" w14:textId="77777777" w:rsidR="00E01839" w:rsidRDefault="00E01839" w:rsidP="00E01839">
            <w:pPr>
              <w:jc w:val="right"/>
              <w:rPr>
                <w:sz w:val="18"/>
                <w:szCs w:val="18"/>
              </w:rPr>
            </w:pPr>
            <w:r>
              <w:rPr>
                <w:sz w:val="18"/>
                <w:szCs w:val="18"/>
              </w:rPr>
              <w:t>100,8%</w:t>
            </w:r>
          </w:p>
        </w:tc>
      </w:tr>
      <w:tr w:rsidR="00E01839" w:rsidRPr="00D56089" w14:paraId="1B9D8A93" w14:textId="77777777" w:rsidTr="00095288">
        <w:trPr>
          <w:trHeight w:val="250"/>
        </w:trPr>
        <w:tc>
          <w:tcPr>
            <w:tcW w:w="4250" w:type="dxa"/>
            <w:tcBorders>
              <w:top w:val="nil"/>
              <w:left w:val="single" w:sz="8" w:space="0" w:color="auto"/>
              <w:bottom w:val="nil"/>
              <w:right w:val="single" w:sz="4" w:space="0" w:color="auto"/>
            </w:tcBorders>
            <w:noWrap/>
            <w:vAlign w:val="bottom"/>
          </w:tcPr>
          <w:p w14:paraId="5187463F" w14:textId="77777777" w:rsidR="00E01839" w:rsidRPr="00093D60" w:rsidRDefault="00E01839" w:rsidP="00E01839">
            <w:pPr>
              <w:rPr>
                <w:sz w:val="18"/>
                <w:szCs w:val="18"/>
              </w:rPr>
            </w:pPr>
            <w:r w:rsidRPr="00093D60">
              <w:rPr>
                <w:sz w:val="18"/>
                <w:szCs w:val="18"/>
                <w:lang w:val="en-US"/>
              </w:rPr>
              <w:t xml:space="preserve">  </w:t>
            </w:r>
            <w:r w:rsidRPr="00093D60">
              <w:rPr>
                <w:sz w:val="18"/>
                <w:szCs w:val="18"/>
              </w:rPr>
              <w:t>Резерв за неотложни и непредвидени разходи</w:t>
            </w:r>
          </w:p>
        </w:tc>
        <w:tc>
          <w:tcPr>
            <w:tcW w:w="1147" w:type="dxa"/>
            <w:tcBorders>
              <w:left w:val="single" w:sz="4" w:space="0" w:color="auto"/>
            </w:tcBorders>
            <w:noWrap/>
            <w:vAlign w:val="bottom"/>
          </w:tcPr>
          <w:p w14:paraId="4D9ECFA7" w14:textId="77777777" w:rsidR="00E01839" w:rsidRPr="00093D60" w:rsidRDefault="00E01839" w:rsidP="00E01839">
            <w:pPr>
              <w:jc w:val="right"/>
              <w:rPr>
                <w:sz w:val="18"/>
                <w:szCs w:val="18"/>
              </w:rPr>
            </w:pPr>
            <w:r w:rsidRPr="00093D60">
              <w:rPr>
                <w:sz w:val="18"/>
                <w:szCs w:val="18"/>
                <w:lang w:val="en-US"/>
              </w:rPr>
              <w:t>336,8</w:t>
            </w:r>
          </w:p>
        </w:tc>
        <w:tc>
          <w:tcPr>
            <w:tcW w:w="1227" w:type="dxa"/>
            <w:tcBorders>
              <w:top w:val="nil"/>
              <w:left w:val="nil"/>
              <w:bottom w:val="nil"/>
              <w:right w:val="nil"/>
            </w:tcBorders>
            <w:shd w:val="clear" w:color="auto" w:fill="auto"/>
            <w:noWrap/>
            <w:vAlign w:val="bottom"/>
          </w:tcPr>
          <w:p w14:paraId="609121AB" w14:textId="77777777" w:rsidR="00E01839" w:rsidRDefault="00E01839" w:rsidP="00E01839">
            <w:pPr>
              <w:jc w:val="right"/>
              <w:rPr>
                <w:sz w:val="18"/>
                <w:szCs w:val="18"/>
              </w:rPr>
            </w:pPr>
          </w:p>
        </w:tc>
        <w:tc>
          <w:tcPr>
            <w:tcW w:w="1222" w:type="dxa"/>
            <w:tcBorders>
              <w:top w:val="nil"/>
              <w:left w:val="nil"/>
              <w:bottom w:val="nil"/>
              <w:right w:val="nil"/>
            </w:tcBorders>
            <w:shd w:val="clear" w:color="auto" w:fill="auto"/>
            <w:noWrap/>
            <w:vAlign w:val="bottom"/>
          </w:tcPr>
          <w:p w14:paraId="3AC57B75" w14:textId="77777777" w:rsidR="00E01839" w:rsidRDefault="00E01839" w:rsidP="00E01839">
            <w:pPr>
              <w:rPr>
                <w:sz w:val="20"/>
                <w:szCs w:val="20"/>
              </w:rPr>
            </w:pPr>
          </w:p>
        </w:tc>
        <w:tc>
          <w:tcPr>
            <w:tcW w:w="1199" w:type="dxa"/>
            <w:tcBorders>
              <w:top w:val="nil"/>
              <w:left w:val="nil"/>
              <w:bottom w:val="nil"/>
              <w:right w:val="nil"/>
            </w:tcBorders>
            <w:shd w:val="clear" w:color="auto" w:fill="auto"/>
            <w:noWrap/>
            <w:vAlign w:val="bottom"/>
          </w:tcPr>
          <w:p w14:paraId="451E0548" w14:textId="77777777" w:rsidR="00E01839" w:rsidRDefault="00E01839" w:rsidP="00E01839">
            <w:pPr>
              <w:rPr>
                <w:sz w:val="20"/>
                <w:szCs w:val="20"/>
              </w:rPr>
            </w:pPr>
          </w:p>
        </w:tc>
        <w:tc>
          <w:tcPr>
            <w:tcW w:w="1209" w:type="dxa"/>
            <w:tcBorders>
              <w:top w:val="nil"/>
              <w:left w:val="nil"/>
              <w:bottom w:val="nil"/>
              <w:right w:val="single" w:sz="4" w:space="0" w:color="auto"/>
            </w:tcBorders>
            <w:shd w:val="clear" w:color="auto" w:fill="auto"/>
            <w:noWrap/>
            <w:vAlign w:val="bottom"/>
          </w:tcPr>
          <w:p w14:paraId="2BBD6377" w14:textId="77777777" w:rsidR="00E01839" w:rsidRDefault="00E01839" w:rsidP="00E01839">
            <w:pPr>
              <w:rPr>
                <w:sz w:val="18"/>
                <w:szCs w:val="18"/>
              </w:rPr>
            </w:pPr>
            <w:r>
              <w:rPr>
                <w:sz w:val="18"/>
                <w:szCs w:val="18"/>
              </w:rPr>
              <w:t> </w:t>
            </w:r>
          </w:p>
        </w:tc>
      </w:tr>
      <w:tr w:rsidR="00E01839" w:rsidRPr="00D56089" w14:paraId="13A5741B" w14:textId="77777777" w:rsidTr="00E01839">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05D9E1AD" w14:textId="77777777" w:rsidR="00E01839" w:rsidRPr="00093D60" w:rsidRDefault="00E01839" w:rsidP="00E01839">
            <w:pPr>
              <w:rPr>
                <w:sz w:val="18"/>
                <w:szCs w:val="18"/>
              </w:rPr>
            </w:pPr>
            <w:r w:rsidRPr="00093D60">
              <w:rPr>
                <w:sz w:val="18"/>
                <w:szCs w:val="18"/>
              </w:rPr>
              <w:t xml:space="preserve">  Вноска за общия бюджет на ЕС</w:t>
            </w:r>
          </w:p>
        </w:tc>
        <w:tc>
          <w:tcPr>
            <w:tcW w:w="1147" w:type="dxa"/>
            <w:tcBorders>
              <w:top w:val="nil"/>
              <w:left w:val="single" w:sz="4" w:space="0" w:color="auto"/>
              <w:bottom w:val="single" w:sz="4" w:space="0" w:color="auto"/>
              <w:right w:val="nil"/>
            </w:tcBorders>
            <w:shd w:val="clear" w:color="auto" w:fill="auto"/>
            <w:noWrap/>
            <w:vAlign w:val="bottom"/>
            <w:hideMark/>
          </w:tcPr>
          <w:p w14:paraId="12B36D23" w14:textId="77777777" w:rsidR="00E01839" w:rsidRPr="00093D60" w:rsidRDefault="00E01839" w:rsidP="00E01839">
            <w:pPr>
              <w:jc w:val="right"/>
              <w:rPr>
                <w:sz w:val="18"/>
                <w:szCs w:val="18"/>
              </w:rPr>
            </w:pPr>
            <w:r w:rsidRPr="00093D60">
              <w:rPr>
                <w:sz w:val="18"/>
                <w:szCs w:val="18"/>
              </w:rPr>
              <w:t>2 042,4</w:t>
            </w:r>
          </w:p>
        </w:tc>
        <w:tc>
          <w:tcPr>
            <w:tcW w:w="1227" w:type="dxa"/>
            <w:tcBorders>
              <w:top w:val="nil"/>
              <w:left w:val="nil"/>
              <w:bottom w:val="single" w:sz="4" w:space="0" w:color="auto"/>
              <w:right w:val="nil"/>
            </w:tcBorders>
            <w:shd w:val="clear" w:color="auto" w:fill="auto"/>
            <w:noWrap/>
            <w:vAlign w:val="bottom"/>
            <w:hideMark/>
          </w:tcPr>
          <w:p w14:paraId="086E8F8A" w14:textId="77777777" w:rsidR="00E01839" w:rsidRDefault="00E01839" w:rsidP="00E01839">
            <w:pPr>
              <w:jc w:val="right"/>
              <w:rPr>
                <w:sz w:val="18"/>
                <w:szCs w:val="18"/>
              </w:rPr>
            </w:pPr>
            <w:r>
              <w:rPr>
                <w:sz w:val="18"/>
                <w:szCs w:val="18"/>
              </w:rPr>
              <w:t>1 849,9</w:t>
            </w:r>
          </w:p>
        </w:tc>
        <w:tc>
          <w:tcPr>
            <w:tcW w:w="1222" w:type="dxa"/>
            <w:tcBorders>
              <w:top w:val="nil"/>
              <w:left w:val="nil"/>
              <w:bottom w:val="single" w:sz="4" w:space="0" w:color="auto"/>
              <w:right w:val="nil"/>
            </w:tcBorders>
            <w:shd w:val="clear" w:color="auto" w:fill="auto"/>
            <w:noWrap/>
            <w:vAlign w:val="bottom"/>
            <w:hideMark/>
          </w:tcPr>
          <w:p w14:paraId="148560FA" w14:textId="77777777" w:rsidR="00E01839" w:rsidRDefault="00E01839" w:rsidP="00E01839">
            <w:pPr>
              <w:jc w:val="right"/>
              <w:rPr>
                <w:color w:val="000000"/>
                <w:sz w:val="18"/>
                <w:szCs w:val="18"/>
              </w:rPr>
            </w:pPr>
            <w:r>
              <w:rPr>
                <w:color w:val="000000"/>
                <w:sz w:val="18"/>
                <w:szCs w:val="18"/>
              </w:rPr>
              <w:t>1 849,9</w:t>
            </w:r>
          </w:p>
        </w:tc>
        <w:tc>
          <w:tcPr>
            <w:tcW w:w="1199" w:type="dxa"/>
            <w:tcBorders>
              <w:top w:val="nil"/>
              <w:left w:val="nil"/>
              <w:bottom w:val="single" w:sz="4" w:space="0" w:color="auto"/>
              <w:right w:val="nil"/>
            </w:tcBorders>
            <w:shd w:val="clear" w:color="auto" w:fill="auto"/>
            <w:noWrap/>
            <w:vAlign w:val="bottom"/>
          </w:tcPr>
          <w:p w14:paraId="5BE60101" w14:textId="77777777" w:rsidR="00E01839" w:rsidRDefault="00E01839" w:rsidP="00E01839">
            <w:pPr>
              <w:jc w:val="right"/>
              <w:rPr>
                <w:color w:val="000000"/>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14:paraId="21C16752" w14:textId="77777777" w:rsidR="00E01839" w:rsidRDefault="00E01839" w:rsidP="00E01839">
            <w:pPr>
              <w:jc w:val="right"/>
              <w:rPr>
                <w:sz w:val="18"/>
                <w:szCs w:val="18"/>
              </w:rPr>
            </w:pPr>
            <w:r>
              <w:rPr>
                <w:sz w:val="18"/>
                <w:szCs w:val="18"/>
              </w:rPr>
              <w:t>90,6%</w:t>
            </w:r>
          </w:p>
        </w:tc>
      </w:tr>
      <w:tr w:rsidR="00E01839" w:rsidRPr="00D56089" w14:paraId="5B5B70D5" w14:textId="77777777" w:rsidTr="00E01839">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4D63F5F1" w14:textId="77777777" w:rsidR="00E01839" w:rsidRPr="00093D60" w:rsidRDefault="00E01839" w:rsidP="00E01839">
            <w:pPr>
              <w:rPr>
                <w:sz w:val="18"/>
                <w:szCs w:val="18"/>
              </w:rPr>
            </w:pPr>
            <w:r w:rsidRPr="00093D60">
              <w:rPr>
                <w:sz w:val="18"/>
                <w:szCs w:val="18"/>
              </w:rPr>
              <w:t>Трансфери</w:t>
            </w:r>
            <w:r w:rsidRPr="00093D60">
              <w:rPr>
                <w:sz w:val="18"/>
                <w:szCs w:val="18"/>
                <w:lang w:val="en-US"/>
              </w:rPr>
              <w:t xml:space="preserve"> </w:t>
            </w:r>
            <w:r w:rsidRPr="00093D60">
              <w:rPr>
                <w:sz w:val="18"/>
                <w:szCs w:val="18"/>
              </w:rPr>
              <w:t>-</w:t>
            </w:r>
            <w:r w:rsidRPr="00093D60">
              <w:rPr>
                <w:sz w:val="18"/>
                <w:szCs w:val="18"/>
                <w:lang w:val="en-US"/>
              </w:rPr>
              <w:t xml:space="preserve"> </w:t>
            </w:r>
            <w:r w:rsidRPr="00093D60">
              <w:rPr>
                <w:sz w:val="18"/>
                <w:szCs w:val="18"/>
              </w:rPr>
              <w:t>нето</w:t>
            </w: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0EDEF8FE" w14:textId="77777777" w:rsidR="00E01839" w:rsidRPr="00093D60" w:rsidRDefault="00E01839" w:rsidP="00E01839">
            <w:pPr>
              <w:jc w:val="right"/>
              <w:rPr>
                <w:sz w:val="18"/>
                <w:szCs w:val="18"/>
              </w:rPr>
            </w:pPr>
          </w:p>
        </w:tc>
        <w:tc>
          <w:tcPr>
            <w:tcW w:w="1227" w:type="dxa"/>
            <w:tcBorders>
              <w:top w:val="single" w:sz="4" w:space="0" w:color="auto"/>
              <w:left w:val="nil"/>
              <w:bottom w:val="single" w:sz="4" w:space="0" w:color="auto"/>
              <w:right w:val="nil"/>
            </w:tcBorders>
            <w:shd w:val="clear" w:color="auto" w:fill="auto"/>
            <w:noWrap/>
            <w:vAlign w:val="bottom"/>
            <w:hideMark/>
          </w:tcPr>
          <w:p w14:paraId="1B02E4F8" w14:textId="77777777" w:rsidR="00E01839" w:rsidRDefault="00E01839" w:rsidP="00E01839">
            <w:pPr>
              <w:rPr>
                <w:sz w:val="20"/>
                <w:szCs w:val="20"/>
              </w:rPr>
            </w:pPr>
          </w:p>
        </w:tc>
        <w:tc>
          <w:tcPr>
            <w:tcW w:w="1222" w:type="dxa"/>
            <w:tcBorders>
              <w:top w:val="single" w:sz="4" w:space="0" w:color="auto"/>
              <w:left w:val="nil"/>
              <w:bottom w:val="single" w:sz="4" w:space="0" w:color="auto"/>
              <w:right w:val="nil"/>
            </w:tcBorders>
            <w:shd w:val="clear" w:color="auto" w:fill="auto"/>
            <w:noWrap/>
            <w:vAlign w:val="bottom"/>
            <w:hideMark/>
          </w:tcPr>
          <w:p w14:paraId="5916B683" w14:textId="77777777" w:rsidR="00E01839" w:rsidRDefault="00E01839" w:rsidP="00E01839">
            <w:pPr>
              <w:jc w:val="right"/>
              <w:rPr>
                <w:color w:val="000000"/>
                <w:sz w:val="18"/>
                <w:szCs w:val="18"/>
              </w:rPr>
            </w:pPr>
            <w:r>
              <w:rPr>
                <w:color w:val="000000"/>
                <w:sz w:val="18"/>
                <w:szCs w:val="18"/>
              </w:rPr>
              <w:t>-1 360,7</w:t>
            </w:r>
          </w:p>
        </w:tc>
        <w:tc>
          <w:tcPr>
            <w:tcW w:w="1199" w:type="dxa"/>
            <w:tcBorders>
              <w:top w:val="single" w:sz="4" w:space="0" w:color="auto"/>
              <w:left w:val="nil"/>
              <w:bottom w:val="single" w:sz="4" w:space="0" w:color="auto"/>
              <w:right w:val="nil"/>
            </w:tcBorders>
            <w:shd w:val="clear" w:color="auto" w:fill="auto"/>
            <w:noWrap/>
            <w:vAlign w:val="bottom"/>
            <w:hideMark/>
          </w:tcPr>
          <w:p w14:paraId="5764B72D" w14:textId="77777777" w:rsidR="00E01839" w:rsidRDefault="00E01839" w:rsidP="00E01839">
            <w:pPr>
              <w:jc w:val="right"/>
              <w:rPr>
                <w:color w:val="000000"/>
                <w:sz w:val="18"/>
                <w:szCs w:val="18"/>
              </w:rPr>
            </w:pPr>
            <w:r>
              <w:rPr>
                <w:color w:val="000000"/>
                <w:sz w:val="18"/>
                <w:szCs w:val="18"/>
              </w:rPr>
              <w:t>1 360,7</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4DD40F4A" w14:textId="77777777" w:rsidR="00E01839" w:rsidRDefault="00E01839" w:rsidP="00E01839">
            <w:pPr>
              <w:rPr>
                <w:b/>
                <w:bCs/>
                <w:sz w:val="18"/>
                <w:szCs w:val="18"/>
              </w:rPr>
            </w:pPr>
            <w:r>
              <w:rPr>
                <w:b/>
                <w:bCs/>
                <w:sz w:val="18"/>
                <w:szCs w:val="18"/>
              </w:rPr>
              <w:t> </w:t>
            </w:r>
          </w:p>
        </w:tc>
      </w:tr>
      <w:tr w:rsidR="00E01839" w:rsidRPr="00D56089" w14:paraId="5CB8F853" w14:textId="77777777" w:rsidTr="00E01839">
        <w:trPr>
          <w:trHeight w:val="265"/>
        </w:trPr>
        <w:tc>
          <w:tcPr>
            <w:tcW w:w="425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5E048B3F" w14:textId="77777777" w:rsidR="00E01839" w:rsidRPr="00093D60" w:rsidRDefault="00E01839" w:rsidP="00E01839">
            <w:pPr>
              <w:rPr>
                <w:b/>
                <w:bCs/>
                <w:sz w:val="18"/>
                <w:szCs w:val="18"/>
              </w:rPr>
            </w:pPr>
            <w:r w:rsidRPr="00093D60">
              <w:rPr>
                <w:b/>
                <w:bCs/>
                <w:sz w:val="18"/>
                <w:szCs w:val="18"/>
              </w:rPr>
              <w:t>БЮДЖЕТНО САЛДО</w:t>
            </w:r>
          </w:p>
        </w:tc>
        <w:tc>
          <w:tcPr>
            <w:tcW w:w="1147" w:type="dxa"/>
            <w:tcBorders>
              <w:top w:val="nil"/>
              <w:left w:val="single" w:sz="4" w:space="0" w:color="auto"/>
              <w:bottom w:val="single" w:sz="8" w:space="0" w:color="auto"/>
              <w:right w:val="nil"/>
            </w:tcBorders>
            <w:shd w:val="clear" w:color="auto" w:fill="auto"/>
            <w:noWrap/>
            <w:vAlign w:val="bottom"/>
            <w:hideMark/>
          </w:tcPr>
          <w:p w14:paraId="6F5ED0FE" w14:textId="77777777" w:rsidR="00E01839" w:rsidRPr="00093D60" w:rsidRDefault="00E01839" w:rsidP="00E01839">
            <w:pPr>
              <w:jc w:val="right"/>
              <w:rPr>
                <w:b/>
                <w:bCs/>
                <w:sz w:val="18"/>
                <w:szCs w:val="18"/>
              </w:rPr>
            </w:pPr>
            <w:r w:rsidRPr="00093D60">
              <w:rPr>
                <w:b/>
                <w:bCs/>
                <w:sz w:val="18"/>
                <w:szCs w:val="18"/>
              </w:rPr>
              <w:t>-4 580,0</w:t>
            </w:r>
          </w:p>
        </w:tc>
        <w:tc>
          <w:tcPr>
            <w:tcW w:w="1227" w:type="dxa"/>
            <w:tcBorders>
              <w:top w:val="single" w:sz="4" w:space="0" w:color="auto"/>
              <w:left w:val="nil"/>
              <w:bottom w:val="single" w:sz="4" w:space="0" w:color="auto"/>
              <w:right w:val="nil"/>
            </w:tcBorders>
            <w:shd w:val="clear" w:color="auto" w:fill="auto"/>
            <w:noWrap/>
            <w:vAlign w:val="bottom"/>
            <w:hideMark/>
          </w:tcPr>
          <w:p w14:paraId="238489B3" w14:textId="77777777" w:rsidR="00E01839" w:rsidRDefault="00E01839" w:rsidP="00E01839">
            <w:pPr>
              <w:jc w:val="right"/>
              <w:rPr>
                <w:b/>
                <w:bCs/>
                <w:sz w:val="18"/>
                <w:szCs w:val="18"/>
              </w:rPr>
            </w:pPr>
            <w:r>
              <w:rPr>
                <w:b/>
                <w:bCs/>
                <w:sz w:val="18"/>
                <w:szCs w:val="18"/>
              </w:rPr>
              <w:t>-5 619,4</w:t>
            </w:r>
          </w:p>
        </w:tc>
        <w:tc>
          <w:tcPr>
            <w:tcW w:w="1222" w:type="dxa"/>
            <w:tcBorders>
              <w:top w:val="single" w:sz="4" w:space="0" w:color="auto"/>
              <w:left w:val="nil"/>
              <w:bottom w:val="single" w:sz="4" w:space="0" w:color="auto"/>
              <w:right w:val="nil"/>
            </w:tcBorders>
            <w:shd w:val="clear" w:color="auto" w:fill="auto"/>
            <w:noWrap/>
            <w:vAlign w:val="bottom"/>
            <w:hideMark/>
          </w:tcPr>
          <w:p w14:paraId="2EA36162" w14:textId="77777777" w:rsidR="00E01839" w:rsidRDefault="00E01839" w:rsidP="00E01839">
            <w:pPr>
              <w:jc w:val="right"/>
              <w:rPr>
                <w:b/>
                <w:bCs/>
                <w:color w:val="000000"/>
                <w:sz w:val="18"/>
                <w:szCs w:val="18"/>
              </w:rPr>
            </w:pPr>
            <w:r>
              <w:rPr>
                <w:b/>
                <w:bCs/>
                <w:color w:val="000000"/>
                <w:sz w:val="18"/>
                <w:szCs w:val="18"/>
              </w:rPr>
              <w:t>-5 398,5</w:t>
            </w:r>
          </w:p>
        </w:tc>
        <w:tc>
          <w:tcPr>
            <w:tcW w:w="1199" w:type="dxa"/>
            <w:tcBorders>
              <w:top w:val="single" w:sz="4" w:space="0" w:color="auto"/>
              <w:left w:val="nil"/>
              <w:bottom w:val="single" w:sz="4" w:space="0" w:color="auto"/>
              <w:right w:val="nil"/>
            </w:tcBorders>
            <w:shd w:val="clear" w:color="auto" w:fill="auto"/>
            <w:noWrap/>
            <w:vAlign w:val="bottom"/>
            <w:hideMark/>
          </w:tcPr>
          <w:p w14:paraId="4CDBBFC6" w14:textId="77777777" w:rsidR="00E01839" w:rsidRDefault="00E01839" w:rsidP="00E01839">
            <w:pPr>
              <w:jc w:val="right"/>
              <w:rPr>
                <w:b/>
                <w:bCs/>
                <w:color w:val="000000"/>
                <w:sz w:val="18"/>
                <w:szCs w:val="18"/>
              </w:rPr>
            </w:pPr>
            <w:r>
              <w:rPr>
                <w:b/>
                <w:bCs/>
                <w:color w:val="000000"/>
                <w:sz w:val="18"/>
                <w:szCs w:val="18"/>
              </w:rPr>
              <w:t>-220,9</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2558DA3C" w14:textId="77777777" w:rsidR="00E01839" w:rsidRDefault="00E01839" w:rsidP="00E01839">
            <w:pPr>
              <w:rPr>
                <w:b/>
                <w:bCs/>
                <w:sz w:val="18"/>
                <w:szCs w:val="18"/>
              </w:rPr>
            </w:pPr>
            <w:r>
              <w:rPr>
                <w:b/>
                <w:bCs/>
                <w:sz w:val="18"/>
                <w:szCs w:val="18"/>
              </w:rPr>
              <w:t> </w:t>
            </w:r>
          </w:p>
        </w:tc>
      </w:tr>
    </w:tbl>
    <w:p w14:paraId="3F1B81C3" w14:textId="77777777" w:rsidR="0010424C" w:rsidRPr="00D56089" w:rsidRDefault="0010424C" w:rsidP="0010424C">
      <w:pPr>
        <w:ind w:left="360"/>
        <w:jc w:val="both"/>
        <w:rPr>
          <w:color w:val="4F81BD" w:themeColor="accent1"/>
          <w:sz w:val="22"/>
        </w:rPr>
      </w:pPr>
    </w:p>
    <w:p w14:paraId="1D4DE81D" w14:textId="77777777" w:rsidR="0010424C" w:rsidRPr="00D56089" w:rsidRDefault="0010424C" w:rsidP="0010424C">
      <w:pPr>
        <w:tabs>
          <w:tab w:val="num" w:pos="2880"/>
        </w:tabs>
        <w:jc w:val="both"/>
        <w:rPr>
          <w:rFonts w:eastAsia="Calibri"/>
          <w:color w:val="4F81BD" w:themeColor="accent1"/>
        </w:rPr>
      </w:pPr>
    </w:p>
    <w:p w14:paraId="50CE64F2" w14:textId="4F5BFA28" w:rsidR="0010424C" w:rsidRPr="00574BF5" w:rsidRDefault="0010424C" w:rsidP="0010424C">
      <w:pPr>
        <w:numPr>
          <w:ilvl w:val="1"/>
          <w:numId w:val="10"/>
        </w:numPr>
        <w:tabs>
          <w:tab w:val="num" w:pos="426"/>
        </w:tabs>
        <w:ind w:left="0" w:firstLine="0"/>
        <w:jc w:val="both"/>
        <w:rPr>
          <w:rFonts w:eastAsia="Calibri"/>
        </w:rPr>
      </w:pPr>
      <w:r w:rsidRPr="00574BF5">
        <w:rPr>
          <w:b/>
        </w:rPr>
        <w:t>Приходите, помощите и даренията по консолидираната фискална програма</w:t>
      </w:r>
      <w:r w:rsidRPr="00574BF5">
        <w:t xml:space="preserve"> (КФП) за</w:t>
      </w:r>
      <w:r w:rsidRPr="00574BF5">
        <w:rPr>
          <w:b/>
        </w:rPr>
        <w:t xml:space="preserve"> </w:t>
      </w:r>
      <w:r w:rsidRPr="00574BF5">
        <w:t xml:space="preserve">2023 г. са в размер на </w:t>
      </w:r>
      <w:r w:rsidR="00354FE0" w:rsidRPr="00574BF5">
        <w:rPr>
          <w:b/>
          <w:bCs/>
          <w:lang w:val="en-US"/>
        </w:rPr>
        <w:t>67 057</w:t>
      </w:r>
      <w:r w:rsidR="00354FE0" w:rsidRPr="00574BF5">
        <w:rPr>
          <w:b/>
          <w:bCs/>
        </w:rPr>
        <w:t>,9 </w:t>
      </w:r>
      <w:r w:rsidRPr="00574BF5">
        <w:rPr>
          <w:b/>
          <w:bCs/>
          <w:lang w:eastAsia="bg-BG"/>
        </w:rPr>
        <w:t>млн. лв</w:t>
      </w:r>
      <w:r w:rsidRPr="00574BF5">
        <w:rPr>
          <w:bCs/>
          <w:lang w:eastAsia="bg-BG"/>
        </w:rPr>
        <w:t>.</w:t>
      </w:r>
      <w:r w:rsidR="00354FE0" w:rsidRPr="00574BF5">
        <w:rPr>
          <w:bCs/>
          <w:lang w:eastAsia="bg-BG"/>
        </w:rPr>
        <w:t xml:space="preserve">, </w:t>
      </w:r>
      <w:r w:rsidR="00354FE0" w:rsidRPr="00574BF5">
        <w:rPr>
          <w:b/>
          <w:bCs/>
          <w:lang w:eastAsia="bg-BG"/>
        </w:rPr>
        <w:t>което представлява 96,5 % от разчетите</w:t>
      </w:r>
      <w:r w:rsidR="00354FE0" w:rsidRPr="00574BF5">
        <w:rPr>
          <w:b/>
          <w:bCs/>
          <w:lang w:val="en-US" w:eastAsia="bg-BG"/>
        </w:rPr>
        <w:t xml:space="preserve"> </w:t>
      </w:r>
      <w:r w:rsidR="00354FE0" w:rsidRPr="00574BF5">
        <w:rPr>
          <w:b/>
          <w:bCs/>
          <w:lang w:eastAsia="bg-BG"/>
        </w:rPr>
        <w:t>към ЗДБРБ за 2023 г</w:t>
      </w:r>
      <w:r w:rsidR="00354FE0" w:rsidRPr="00242143">
        <w:rPr>
          <w:b/>
          <w:bCs/>
          <w:lang w:eastAsia="bg-BG"/>
        </w:rPr>
        <w:t>.</w:t>
      </w:r>
      <w:r w:rsidR="00242143" w:rsidRPr="00242143">
        <w:rPr>
          <w:b/>
          <w:bCs/>
          <w:lang w:eastAsia="bg-BG"/>
        </w:rPr>
        <w:t>, при 64 788,7 млн. лв. за 2022 г. или ръст от 2 269,1 млн. лв.</w:t>
      </w:r>
      <w:r w:rsidRPr="00574BF5">
        <w:rPr>
          <w:bCs/>
          <w:lang w:eastAsia="bg-BG"/>
        </w:rPr>
        <w:t xml:space="preserve"> </w:t>
      </w:r>
      <w:r w:rsidR="007429D7">
        <w:rPr>
          <w:bCs/>
          <w:lang w:eastAsia="bg-BG"/>
        </w:rPr>
        <w:t>О</w:t>
      </w:r>
      <w:r w:rsidR="007429D7">
        <w:rPr>
          <w:rFonts w:eastAsia="Calibri"/>
        </w:rPr>
        <w:t>сновен принос з</w:t>
      </w:r>
      <w:r w:rsidR="007429D7" w:rsidRPr="00700AA3">
        <w:rPr>
          <w:rFonts w:eastAsia="Calibri"/>
        </w:rPr>
        <w:t>а този ръст имат данъчните приходи</w:t>
      </w:r>
      <w:r w:rsidR="007429D7">
        <w:rPr>
          <w:rFonts w:eastAsia="Calibri"/>
        </w:rPr>
        <w:t>. Приходите по КФП са по-ниски от планираните с разчетите към ЗДБРБ за 2023</w:t>
      </w:r>
      <w:r w:rsidR="007429D7">
        <w:rPr>
          <w:rFonts w:eastAsia="Calibri"/>
          <w:lang w:val="en-US"/>
        </w:rPr>
        <w:t> </w:t>
      </w:r>
      <w:r w:rsidR="007429D7">
        <w:rPr>
          <w:rFonts w:eastAsia="Calibri"/>
        </w:rPr>
        <w:t>г. основно поради забавянето на вторият транш за България по Плана за възстановяване и устойчивост, който се очаква да постъпи през 2024 г.</w:t>
      </w:r>
      <w:r w:rsidR="00351610">
        <w:rPr>
          <w:rFonts w:eastAsia="Calibri"/>
        </w:rPr>
        <w:t xml:space="preserve"> В частта на данъчните приходи превишение на годишните разчети се отчита при повечето данъци и осигурителни вноски, с изключение на приходите от ДДС от внос, мита и корпоративни данъци. Приходите от ДДС от внос и мита бяха негативно засегнати от текущата конюнктура на цените на </w:t>
      </w:r>
      <w:r w:rsidR="00351610">
        <w:t xml:space="preserve">суровия петрол, внесен за преработка, курсът на щатския долар, както и намалелите количества на внесените стоки, пораждащи ДДС, в </w:t>
      </w:r>
      <w:r w:rsidR="00822134">
        <w:t xml:space="preserve">т.ч. на суровия петрол. </w:t>
      </w:r>
      <w:r w:rsidR="000033E7">
        <w:t>Въпреки че приходите от ДДС при сделки в страната и вътреобщностни придобивания отчетоха силно възстановяване през втората половина на годината, те не можаха да компенсират изоставането при ДДС от внос и нетните постъпления от ДДС за годината останаха под годишните разчети</w:t>
      </w:r>
      <w:r w:rsidR="00B7788E" w:rsidRPr="00574BF5">
        <w:rPr>
          <w:rFonts w:eastAsia="Calibri"/>
        </w:rPr>
        <w:t>.</w:t>
      </w:r>
    </w:p>
    <w:p w14:paraId="19036B89" w14:textId="5583D69B" w:rsidR="007221A9" w:rsidRDefault="0010424C" w:rsidP="0010424C">
      <w:pPr>
        <w:spacing w:before="120"/>
        <w:jc w:val="both"/>
        <w:rPr>
          <w:b/>
          <w:i/>
        </w:rPr>
      </w:pPr>
      <w:r w:rsidRPr="00292821">
        <w:t>Общата сума</w:t>
      </w:r>
      <w:r w:rsidRPr="00292821">
        <w:rPr>
          <w:b/>
        </w:rPr>
        <w:t xml:space="preserve"> </w:t>
      </w:r>
      <w:r w:rsidRPr="00292821">
        <w:t>на</w:t>
      </w:r>
      <w:r w:rsidRPr="00292821">
        <w:rPr>
          <w:b/>
        </w:rPr>
        <w:t xml:space="preserve"> </w:t>
      </w:r>
      <w:r w:rsidRPr="00292821">
        <w:rPr>
          <w:b/>
          <w:i/>
        </w:rPr>
        <w:t>данъчните постъпления</w:t>
      </w:r>
      <w:r w:rsidRPr="00292821">
        <w:t xml:space="preserve"> (вкл. приходите от осигурителни вноски) </w:t>
      </w:r>
      <w:r w:rsidR="007E5F7B" w:rsidRPr="00292821">
        <w:t>е</w:t>
      </w:r>
      <w:r w:rsidRPr="00292821">
        <w:t xml:space="preserve"> в размер на </w:t>
      </w:r>
      <w:r w:rsidR="00292821" w:rsidRPr="00292821">
        <w:rPr>
          <w:b/>
          <w:bCs/>
          <w:i/>
        </w:rPr>
        <w:t xml:space="preserve">52 324,2 </w:t>
      </w:r>
      <w:r w:rsidRPr="00292821">
        <w:rPr>
          <w:b/>
          <w:i/>
        </w:rPr>
        <w:t>млн. лв.</w:t>
      </w:r>
      <w:r w:rsidR="00292821" w:rsidRPr="00292821">
        <w:rPr>
          <w:b/>
          <w:i/>
          <w:lang w:eastAsia="bg-BG"/>
        </w:rPr>
        <w:t xml:space="preserve">, </w:t>
      </w:r>
      <w:r w:rsidR="00292821" w:rsidRPr="00292821">
        <w:rPr>
          <w:lang w:eastAsia="bg-BG"/>
        </w:rPr>
        <w:t>което представлява 98,4 % от разчетените за годината.</w:t>
      </w:r>
      <w:r w:rsidR="00292821" w:rsidRPr="00292821">
        <w:rPr>
          <w:b/>
          <w:i/>
          <w:lang w:eastAsia="bg-BG"/>
        </w:rPr>
        <w:t xml:space="preserve"> </w:t>
      </w:r>
      <w:r w:rsidR="00292821" w:rsidRPr="00292821">
        <w:rPr>
          <w:lang w:eastAsia="bg-BG"/>
        </w:rPr>
        <w:t>Постъпленията от данъци и осигурителни вноски нарастват с 5 541,2 млн. лв. (11,8 %) спрямо отчетените за предходната година, като формират 78,0 % от общите постъпления по КФП. В частта на данъчните приходи по КФП, при съпоставка с предходната година, постъпленията от преки данъци нарастват с 12,9</w:t>
      </w:r>
      <w:r w:rsidR="007A2EAC">
        <w:rPr>
          <w:lang w:eastAsia="bg-BG"/>
        </w:rPr>
        <w:t> </w:t>
      </w:r>
      <w:r w:rsidR="00292821" w:rsidRPr="00292821">
        <w:rPr>
          <w:lang w:eastAsia="bg-BG"/>
        </w:rPr>
        <w:t xml:space="preserve">% </w:t>
      </w:r>
      <w:r w:rsidR="00292821" w:rsidRPr="00292821">
        <w:rPr>
          <w:lang w:val="en-US" w:eastAsia="bg-BG"/>
        </w:rPr>
        <w:t>(1 282</w:t>
      </w:r>
      <w:r w:rsidR="00292821" w:rsidRPr="00292821">
        <w:rPr>
          <w:lang w:eastAsia="bg-BG"/>
        </w:rPr>
        <w:t>,4 млн. лв.</w:t>
      </w:r>
      <w:r w:rsidR="00292821" w:rsidRPr="00292821">
        <w:rPr>
          <w:lang w:val="en-US" w:eastAsia="bg-BG"/>
        </w:rPr>
        <w:t>)</w:t>
      </w:r>
      <w:r w:rsidR="00292821" w:rsidRPr="00292821">
        <w:rPr>
          <w:lang w:eastAsia="bg-BG"/>
        </w:rPr>
        <w:t xml:space="preserve">, социално и здравноосигурителни вноски нарастват с 13,8 % </w:t>
      </w:r>
      <w:r w:rsidR="00292821" w:rsidRPr="00292821">
        <w:rPr>
          <w:lang w:val="en-US" w:eastAsia="bg-BG"/>
        </w:rPr>
        <w:t>(1 </w:t>
      </w:r>
      <w:r w:rsidR="00292821" w:rsidRPr="00292821">
        <w:rPr>
          <w:lang w:eastAsia="bg-BG"/>
        </w:rPr>
        <w:t>889,8 млн. лв.</w:t>
      </w:r>
      <w:r w:rsidR="00292821" w:rsidRPr="00292821">
        <w:rPr>
          <w:lang w:val="en-US" w:eastAsia="bg-BG"/>
        </w:rPr>
        <w:t>)</w:t>
      </w:r>
      <w:r w:rsidR="00292821" w:rsidRPr="00292821">
        <w:rPr>
          <w:lang w:eastAsia="bg-BG"/>
        </w:rPr>
        <w:t>, други данъци</w:t>
      </w:r>
      <w:r w:rsidR="00292821" w:rsidRPr="00292821">
        <w:rPr>
          <w:vertAlign w:val="superscript"/>
          <w:lang w:eastAsia="bg-BG"/>
        </w:rPr>
        <w:footnoteReference w:id="5"/>
      </w:r>
      <w:r w:rsidR="00292821" w:rsidRPr="00292821">
        <w:rPr>
          <w:lang w:eastAsia="bg-BG"/>
        </w:rPr>
        <w:t xml:space="preserve"> нарастват със 73,1 % </w:t>
      </w:r>
      <w:r w:rsidR="00292821" w:rsidRPr="00292821">
        <w:rPr>
          <w:lang w:val="en-US" w:eastAsia="bg-BG"/>
        </w:rPr>
        <w:t>(1 </w:t>
      </w:r>
      <w:r w:rsidR="00292821" w:rsidRPr="00292821">
        <w:rPr>
          <w:lang w:eastAsia="bg-BG"/>
        </w:rPr>
        <w:t>154,7 млн. лв.</w:t>
      </w:r>
      <w:r w:rsidR="00292821" w:rsidRPr="00292821">
        <w:rPr>
          <w:lang w:val="en-US" w:eastAsia="bg-BG"/>
        </w:rPr>
        <w:t>)</w:t>
      </w:r>
      <w:r w:rsidR="00292821" w:rsidRPr="00292821">
        <w:rPr>
          <w:lang w:eastAsia="bg-BG"/>
        </w:rPr>
        <w:t xml:space="preserve"> и косвените данъци отчитат ръст от 5,6 % (1 214,3 млн. лв.). </w:t>
      </w:r>
      <w:r w:rsidR="00332F83" w:rsidRPr="008332F2">
        <w:t xml:space="preserve">За отчетеното подобрение при косвените данъци основен принос имат приходите </w:t>
      </w:r>
      <w:r w:rsidR="00332F83">
        <w:t xml:space="preserve">от </w:t>
      </w:r>
      <w:r w:rsidR="00332F83" w:rsidRPr="008332F2">
        <w:t>акцизи</w:t>
      </w:r>
      <w:r w:rsidR="00332F83">
        <w:t xml:space="preserve"> и</w:t>
      </w:r>
      <w:r w:rsidR="00332F83" w:rsidRPr="008332F2">
        <w:t xml:space="preserve"> от ДДС от </w:t>
      </w:r>
      <w:r w:rsidR="00332F83" w:rsidRPr="00E9217D">
        <w:t>сделки в страната</w:t>
      </w:r>
      <w:r w:rsidR="00332F83" w:rsidRPr="008332F2">
        <w:t xml:space="preserve"> </w:t>
      </w:r>
      <w:r w:rsidR="00332F83">
        <w:t xml:space="preserve">и </w:t>
      </w:r>
      <w:r w:rsidR="00332F83" w:rsidRPr="008332F2">
        <w:t>вътреобщностни придобивания</w:t>
      </w:r>
      <w:r w:rsidR="00332F83">
        <w:t xml:space="preserve"> (ВОП), като</w:t>
      </w:r>
      <w:r w:rsidR="00332F83" w:rsidRPr="00E9217D">
        <w:t xml:space="preserve"> </w:t>
      </w:r>
      <w:r w:rsidR="00332F83">
        <w:t>п</w:t>
      </w:r>
      <w:r w:rsidR="00332F83" w:rsidRPr="008F08F1">
        <w:rPr>
          <w:lang w:val="ru-RU"/>
        </w:rPr>
        <w:t>одобрението от предходните месеци продължи и през декември</w:t>
      </w:r>
      <w:r w:rsidR="00332F83">
        <w:t>. Изпълнението на ДДС от страната и ВОП спрямо разчетите по ЗДБРБ за 2023 г. е 100 %</w:t>
      </w:r>
      <w:r w:rsidR="00332F83" w:rsidRPr="008332F2">
        <w:t xml:space="preserve">. </w:t>
      </w:r>
      <w:r w:rsidR="00332F83" w:rsidRPr="00AF61AC">
        <w:t>Изоставането при ДДС от внос от първото полугодие на 2023 г. не беше изцяло компенсирано</w:t>
      </w:r>
      <w:r w:rsidR="007221A9">
        <w:rPr>
          <w:lang w:eastAsia="bg-BG"/>
        </w:rPr>
        <w:t>.</w:t>
      </w:r>
      <w:r w:rsidRPr="00292821">
        <w:rPr>
          <w:b/>
          <w:i/>
        </w:rPr>
        <w:t xml:space="preserve"> </w:t>
      </w:r>
    </w:p>
    <w:p w14:paraId="33413585" w14:textId="77777777" w:rsidR="0010424C" w:rsidRPr="00D56089" w:rsidRDefault="00576F79" w:rsidP="0010424C">
      <w:pPr>
        <w:spacing w:before="120"/>
        <w:jc w:val="both"/>
        <w:rPr>
          <w:color w:val="4F81BD" w:themeColor="accent1"/>
        </w:rPr>
      </w:pPr>
      <w:r w:rsidRPr="00B44169">
        <w:t xml:space="preserve">Приходите в частта на </w:t>
      </w:r>
      <w:r w:rsidRPr="00576F79">
        <w:rPr>
          <w:i/>
        </w:rPr>
        <w:t xml:space="preserve">преките данъци </w:t>
      </w:r>
      <w:r w:rsidRPr="00576F79">
        <w:t xml:space="preserve">възлизат на 11 206,2 млн. лв., което представлява 96,4 % от разчета за 2023 г. Приходите от </w:t>
      </w:r>
      <w:r w:rsidRPr="00576F79">
        <w:rPr>
          <w:i/>
        </w:rPr>
        <w:t>косвени данъци</w:t>
      </w:r>
      <w:r w:rsidRPr="00576F79">
        <w:t xml:space="preserve"> са в размер на 22 755,8 </w:t>
      </w:r>
      <w:r w:rsidRPr="00576F79">
        <w:rPr>
          <w:rFonts w:eastAsia="Calibri"/>
          <w:bCs/>
          <w:iCs/>
        </w:rPr>
        <w:t>млн. лв.,</w:t>
      </w:r>
      <w:r w:rsidRPr="00576F79">
        <w:rPr>
          <w:rFonts w:eastAsia="Calibri"/>
        </w:rPr>
        <w:t xml:space="preserve"> </w:t>
      </w:r>
      <w:r w:rsidRPr="00576F79">
        <w:t xml:space="preserve">което представлява 97,2 % от предвидените в ЗДБРБ за 2023 г. Постъпленията от </w:t>
      </w:r>
      <w:r w:rsidRPr="00576F79">
        <w:rPr>
          <w:i/>
        </w:rPr>
        <w:t>други данъци</w:t>
      </w:r>
      <w:r w:rsidRPr="00576F79">
        <w:t xml:space="preserve"> (включват други данъци по ЗКПО, имуществени и др. данъци) са в размер на </w:t>
      </w:r>
      <w:r w:rsidRPr="00576F79">
        <w:rPr>
          <w:lang w:val="ru-RU"/>
        </w:rPr>
        <w:t xml:space="preserve">2 734,7 </w:t>
      </w:r>
      <w:r w:rsidRPr="00576F79">
        <w:t>млн. лв.</w:t>
      </w:r>
      <w:r w:rsidRPr="00E77416">
        <w:t xml:space="preserve"> </w:t>
      </w:r>
      <w:r w:rsidRPr="00BE2AA4">
        <w:t xml:space="preserve">(в т. ч. 949,2 млн. лв. целеви вноски във Фонд "Сигурност на електроенергийната система"), </w:t>
      </w:r>
      <w:r w:rsidRPr="002E04A6">
        <w:t>което представлява 102,6 % спрямо годишния разчет. Приходите от социални и здравноосигурителни вноски са в размер на 15 627,4 млн. лв. или 101,0 % спрямо разчета за 2023 година</w:t>
      </w:r>
      <w:r w:rsidR="0010424C" w:rsidRPr="00D56089">
        <w:rPr>
          <w:color w:val="4F81BD" w:themeColor="accent1"/>
        </w:rPr>
        <w:t xml:space="preserve">. </w:t>
      </w:r>
    </w:p>
    <w:p w14:paraId="67AF057B" w14:textId="77777777" w:rsidR="0010424C" w:rsidRPr="003F0C9F" w:rsidRDefault="00C1149B" w:rsidP="0010424C">
      <w:pPr>
        <w:spacing w:before="120"/>
        <w:jc w:val="both"/>
      </w:pPr>
      <w:r w:rsidRPr="003F0C9F">
        <w:rPr>
          <w:b/>
          <w:bCs/>
          <w:i/>
          <w:iCs/>
        </w:rPr>
        <w:t>Неданъчните приходи</w:t>
      </w:r>
      <w:r w:rsidRPr="003F0C9F">
        <w:rPr>
          <w:rStyle w:val="FootnoteReference"/>
          <w:b/>
          <w:bCs/>
          <w:i/>
          <w:iCs/>
        </w:rPr>
        <w:footnoteReference w:id="6"/>
      </w:r>
      <w:r w:rsidRPr="003F0C9F">
        <w:rPr>
          <w:b/>
          <w:bCs/>
          <w:iCs/>
        </w:rPr>
        <w:t xml:space="preserve"> </w:t>
      </w:r>
      <w:r w:rsidR="003F0C9F" w:rsidRPr="003F0C9F">
        <w:t xml:space="preserve">са в размер на </w:t>
      </w:r>
      <w:r w:rsidR="003F0C9F" w:rsidRPr="003F0C9F">
        <w:rPr>
          <w:b/>
          <w:i/>
        </w:rPr>
        <w:t xml:space="preserve">10 903,6 </w:t>
      </w:r>
      <w:r w:rsidR="003F0C9F" w:rsidRPr="003F0C9F">
        <w:rPr>
          <w:b/>
          <w:bCs/>
          <w:i/>
        </w:rPr>
        <w:t xml:space="preserve">млн. лв., </w:t>
      </w:r>
      <w:r w:rsidR="003F0C9F" w:rsidRPr="003F0C9F">
        <w:t>което представлява</w:t>
      </w:r>
      <w:r w:rsidR="003F0C9F" w:rsidRPr="003F0C9F">
        <w:rPr>
          <w:i/>
        </w:rPr>
        <w:t xml:space="preserve"> </w:t>
      </w:r>
      <w:r w:rsidR="003F0C9F" w:rsidRPr="003F0C9F">
        <w:t>97,8 %</w:t>
      </w:r>
      <w:r w:rsidR="003F0C9F" w:rsidRPr="003F0C9F">
        <w:rPr>
          <w:b/>
          <w:i/>
        </w:rPr>
        <w:t xml:space="preserve"> </w:t>
      </w:r>
      <w:r w:rsidR="003F0C9F" w:rsidRPr="003F0C9F">
        <w:t>от</w:t>
      </w:r>
      <w:r w:rsidR="003F0C9F" w:rsidRPr="003F0C9F">
        <w:rPr>
          <w:b/>
          <w:i/>
        </w:rPr>
        <w:t xml:space="preserve"> </w:t>
      </w:r>
      <w:r w:rsidR="003F0C9F" w:rsidRPr="003F0C9F">
        <w:t>годишните разчети</w:t>
      </w:r>
      <w:r w:rsidR="003F0C9F" w:rsidRPr="003F0C9F">
        <w:rPr>
          <w:bCs/>
        </w:rPr>
        <w:t xml:space="preserve"> 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003F0C9F" w:rsidRPr="003F0C9F">
        <w:t xml:space="preserve">. </w:t>
      </w:r>
      <w:r w:rsidR="003F0C9F" w:rsidRPr="003F0C9F">
        <w:rPr>
          <w:bCs/>
        </w:rPr>
        <w:t>В частта на неданъчните приходи към края на декември 2023 г. са постъпили 1 554,3 млн. лв. приходи от дивидент за държавата от държавни предприятия</w:t>
      </w:r>
      <w:r w:rsidR="0010424C" w:rsidRPr="003F0C9F">
        <w:rPr>
          <w:rFonts w:eastAsia="Calibri"/>
        </w:rPr>
        <w:t>.</w:t>
      </w:r>
      <w:r w:rsidR="0010424C" w:rsidRPr="003F0C9F">
        <w:t xml:space="preserve"> </w:t>
      </w:r>
    </w:p>
    <w:p w14:paraId="40723B8A" w14:textId="77777777" w:rsidR="0010424C" w:rsidRPr="006B5165" w:rsidRDefault="0010424C" w:rsidP="0010424C">
      <w:pPr>
        <w:spacing w:before="120" w:after="120"/>
        <w:jc w:val="both"/>
      </w:pPr>
      <w:r w:rsidRPr="00032DE2">
        <w:t xml:space="preserve">Постъпленията от </w:t>
      </w:r>
      <w:r w:rsidRPr="00032DE2">
        <w:rPr>
          <w:b/>
          <w:i/>
        </w:rPr>
        <w:t>помощи</w:t>
      </w:r>
      <w:r w:rsidRPr="00032DE2">
        <w:t xml:space="preserve"> </w:t>
      </w:r>
      <w:r w:rsidRPr="00032DE2">
        <w:rPr>
          <w:b/>
          <w:i/>
        </w:rPr>
        <w:t xml:space="preserve">и дарения </w:t>
      </w:r>
      <w:r w:rsidRPr="00032DE2">
        <w:t xml:space="preserve">от страната и чужбина (основно помощи от фондовете на ЕС) </w:t>
      </w:r>
      <w:r w:rsidR="006B5165" w:rsidRPr="00032DE2">
        <w:t>за</w:t>
      </w:r>
      <w:r w:rsidR="00F35885" w:rsidRPr="00032DE2">
        <w:t xml:space="preserve"> 2023 г. са в размер на </w:t>
      </w:r>
      <w:r w:rsidR="006B5165" w:rsidRPr="00032DE2">
        <w:rPr>
          <w:b/>
          <w:i/>
        </w:rPr>
        <w:t>3 830,1 млн. лв.</w:t>
      </w:r>
      <w:r w:rsidR="006B5165" w:rsidRPr="00032DE2">
        <w:t>, като се отчита спад с 2 175,3 млн. лв. спрямо 2022</w:t>
      </w:r>
      <w:r w:rsidR="000F6599" w:rsidRPr="00032DE2">
        <w:t> </w:t>
      </w:r>
      <w:r w:rsidR="006B5165" w:rsidRPr="00032DE2">
        <w:t xml:space="preserve">г. При съпоставката с предходната година в частта на постъпленията от помощи и дарения следва да се има предвид постъпилия през месец декември 2022 г. първи транш по Плана за възстановяване и устойчивост, в размер на 2 677,4 </w:t>
      </w:r>
      <w:r w:rsidR="006B5165" w:rsidRPr="00032DE2">
        <w:rPr>
          <w:bCs/>
          <w:szCs w:val="20"/>
        </w:rPr>
        <w:t>млн. лева</w:t>
      </w:r>
      <w:r w:rsidR="006B5165" w:rsidRPr="00032DE2">
        <w:t>.</w:t>
      </w:r>
      <w:r w:rsidRPr="006B5165">
        <w:t xml:space="preserve"> </w:t>
      </w:r>
    </w:p>
    <w:p w14:paraId="796300A2" w14:textId="77777777" w:rsidR="0000458F" w:rsidRDefault="0000458F" w:rsidP="0010424C">
      <w:pPr>
        <w:spacing w:before="120" w:after="120"/>
        <w:jc w:val="both"/>
        <w:rPr>
          <w:color w:val="4F81BD" w:themeColor="accent1"/>
        </w:rPr>
      </w:pPr>
    </w:p>
    <w:p w14:paraId="661C4F72" w14:textId="77777777" w:rsidR="003C31AC" w:rsidRPr="001050E8" w:rsidRDefault="003C31AC" w:rsidP="003C31AC">
      <w:pPr>
        <w:spacing w:after="120"/>
        <w:jc w:val="both"/>
        <w:rPr>
          <w:color w:val="0070C0"/>
        </w:rPr>
      </w:pPr>
      <w:r w:rsidRPr="001050E8">
        <w:rPr>
          <w:rFonts w:eastAsia="Calibri"/>
          <w:noProof/>
          <w:color w:val="0070C0"/>
          <w:lang w:eastAsia="bg-BG"/>
        </w:rPr>
        <w:drawing>
          <wp:inline distT="0" distB="0" distL="0" distR="0" wp14:anchorId="533A02DD" wp14:editId="738CB292">
            <wp:extent cx="5842000" cy="2362200"/>
            <wp:effectExtent l="0" t="0" r="635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20A759" w14:textId="77777777" w:rsidR="003C31AC" w:rsidRPr="00916463" w:rsidRDefault="003C31AC" w:rsidP="003C31AC">
      <w:pPr>
        <w:jc w:val="both"/>
        <w:rPr>
          <w:rFonts w:eastAsia="Calibri"/>
          <w:b/>
          <w:color w:val="0070C0"/>
          <w:sz w:val="20"/>
        </w:rPr>
      </w:pPr>
      <w:bookmarkStart w:id="18" w:name="_MON_1562495641"/>
      <w:bookmarkStart w:id="19" w:name="_MON_1562495680"/>
      <w:bookmarkStart w:id="20" w:name="_MON_1562495725"/>
      <w:bookmarkStart w:id="21" w:name="_MON_1562495759"/>
      <w:bookmarkStart w:id="22" w:name="_MON_1562495782"/>
      <w:bookmarkStart w:id="23" w:name="_MON_1562495848"/>
      <w:bookmarkStart w:id="24" w:name="_MON_1562495926"/>
      <w:bookmarkStart w:id="25" w:name="_MON_1562495995"/>
      <w:bookmarkStart w:id="26" w:name="_MON_1562496100"/>
      <w:bookmarkStart w:id="27" w:name="_MON_1562496172"/>
      <w:bookmarkStart w:id="28" w:name="_MON_1562496201"/>
      <w:bookmarkStart w:id="29" w:name="_MON_1562496223"/>
      <w:bookmarkStart w:id="30" w:name="_MON_1562496546"/>
      <w:bookmarkStart w:id="31" w:name="_MON_1562494801"/>
      <w:bookmarkStart w:id="32" w:name="_MON_1562575628"/>
      <w:bookmarkStart w:id="33" w:name="_MON_1562575824"/>
      <w:bookmarkStart w:id="34" w:name="_MON_1562575867"/>
      <w:bookmarkStart w:id="35" w:name="_MON_1562494914"/>
      <w:bookmarkStart w:id="36" w:name="_MON_1562495064"/>
      <w:bookmarkStart w:id="37" w:name="_MON_1562495152"/>
      <w:bookmarkStart w:id="38" w:name="_MON_1562495221"/>
      <w:bookmarkStart w:id="39" w:name="_MON_1562495389"/>
      <w:bookmarkStart w:id="40" w:name="_MON_1522508180"/>
      <w:bookmarkStart w:id="41" w:name="_MON_1522508239"/>
      <w:bookmarkStart w:id="42" w:name="_MON_1522508269"/>
      <w:bookmarkStart w:id="43" w:name="_MON_1522508157"/>
      <w:bookmarkStart w:id="44" w:name="_MON_1549360449"/>
      <w:bookmarkStart w:id="45" w:name="_MON_1549360548"/>
      <w:bookmarkStart w:id="46" w:name="_MON_1549360567"/>
      <w:bookmarkStart w:id="47" w:name="_MON_1562165742"/>
      <w:bookmarkStart w:id="48" w:name="_MON_1562165832"/>
      <w:bookmarkStart w:id="49" w:name="_MON_1562165842"/>
      <w:bookmarkStart w:id="50" w:name="_MON_1562166008"/>
      <w:bookmarkStart w:id="51" w:name="_MON_1562166044"/>
      <w:bookmarkStart w:id="52" w:name="_MON_1522569064"/>
      <w:bookmarkStart w:id="53" w:name="_MON_152256926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AC0E07D" w14:textId="088A7F45" w:rsidR="003C31AC" w:rsidRPr="003847B7" w:rsidRDefault="003C31AC" w:rsidP="003847B7">
      <w:pPr>
        <w:pStyle w:val="ListParagraph"/>
        <w:numPr>
          <w:ilvl w:val="0"/>
          <w:numId w:val="38"/>
        </w:numPr>
        <w:tabs>
          <w:tab w:val="left" w:pos="426"/>
        </w:tabs>
        <w:spacing w:line="240" w:lineRule="auto"/>
        <w:ind w:left="0" w:firstLine="0"/>
        <w:rPr>
          <w:rFonts w:ascii="Times New Roman" w:hAnsi="Times New Roman"/>
          <w:lang w:val="ru-RU"/>
        </w:rPr>
      </w:pPr>
      <w:r w:rsidRPr="003847B7">
        <w:rPr>
          <w:rFonts w:ascii="Times New Roman" w:eastAsia="Calibri" w:hAnsi="Times New Roman"/>
          <w:b/>
        </w:rPr>
        <w:t>Разходите</w:t>
      </w:r>
      <w:r w:rsidRPr="003847B7">
        <w:rPr>
          <w:rFonts w:ascii="Times New Roman" w:eastAsia="Calibri" w:hAnsi="Times New Roman"/>
        </w:rPr>
        <w:t xml:space="preserve"> по КФП (вкл. вноската на Република България в бюджета на ЕС) за 2023 г. възлизат на </w:t>
      </w:r>
      <w:r w:rsidRPr="003847B7">
        <w:rPr>
          <w:rFonts w:ascii="Times New Roman" w:eastAsia="Calibri" w:hAnsi="Times New Roman"/>
          <w:b/>
        </w:rPr>
        <w:t xml:space="preserve">72 677,3 млн. лв., </w:t>
      </w:r>
      <w:r w:rsidRPr="003847B7">
        <w:rPr>
          <w:rFonts w:ascii="Times New Roman" w:eastAsia="Calibri" w:hAnsi="Times New Roman"/>
        </w:rPr>
        <w:t>което е 98,1 % от годишните разчети.</w:t>
      </w:r>
      <w:r w:rsidRPr="003847B7">
        <w:rPr>
          <w:rFonts w:ascii="Times New Roman" w:eastAsia="Calibri" w:hAnsi="Times New Roman"/>
          <w:b/>
        </w:rPr>
        <w:t xml:space="preserve"> </w:t>
      </w:r>
      <w:r w:rsidR="00573580" w:rsidRPr="00573580">
        <w:rPr>
          <w:rFonts w:ascii="Times New Roman" w:hAnsi="Times New Roman"/>
        </w:rPr>
        <w:t>В номинално изражение разходите нарастват спрямо 2022 г. с 6 565,0 млн. лв. (9,9 %). В отделните разходни показатели най-значително нарастване има при капиталовите разходи, социалните разходи, както и в частта на разходите за персонал.</w:t>
      </w:r>
      <w:r w:rsidR="00573580" w:rsidRPr="00573580">
        <w:rPr>
          <w:rFonts w:ascii="Times New Roman" w:hAnsi="Times New Roman"/>
          <w:lang w:val="ru-RU"/>
        </w:rPr>
        <w:t xml:space="preserve"> За разлика от предходни години, когато капиталовите разходи бяха значително по-ниски от заложените в разчетите към годишния закон за бюджета</w:t>
      </w:r>
      <w:r w:rsidR="00573580" w:rsidRPr="00573580">
        <w:rPr>
          <w:rFonts w:ascii="Times New Roman" w:hAnsi="Times New Roman"/>
        </w:rPr>
        <w:t>,</w:t>
      </w:r>
      <w:r w:rsidR="00573580" w:rsidRPr="00573580">
        <w:rPr>
          <w:rFonts w:ascii="Times New Roman" w:hAnsi="Times New Roman"/>
          <w:lang w:val="ru-RU"/>
        </w:rPr>
        <w:t xml:space="preserve"> през 2023 г. капиталовите разходи и </w:t>
      </w:r>
      <w:r w:rsidR="00C8086F" w:rsidRPr="00C8086F">
        <w:rPr>
          <w:rFonts w:ascii="Times New Roman" w:hAnsi="Times New Roman"/>
          <w:szCs w:val="24"/>
          <w:lang w:val="ru-RU"/>
        </w:rPr>
        <w:t>капиталови</w:t>
      </w:r>
      <w:r w:rsidR="00C8086F">
        <w:rPr>
          <w:rFonts w:ascii="Times New Roman" w:hAnsi="Times New Roman"/>
          <w:sz w:val="28"/>
          <w:szCs w:val="28"/>
          <w:lang w:val="ru-RU"/>
        </w:rPr>
        <w:t xml:space="preserve"> </w:t>
      </w:r>
      <w:r w:rsidR="00573580" w:rsidRPr="00573580">
        <w:rPr>
          <w:rFonts w:ascii="Times New Roman" w:hAnsi="Times New Roman"/>
          <w:lang w:val="ru-RU"/>
        </w:rPr>
        <w:t xml:space="preserve">трансфери надвишават плана за годината, основно поради нарастването на инвестиционните разходи по сметките за средства от ЕС поради сроковете за разплащане на проектите и програмите за програмния период 2014-2020 г., както и поради по-високите разходи по общинските бюджети и държавния бюджет, вкл. и поради финансирането на </w:t>
      </w:r>
      <w:r w:rsidR="00573580" w:rsidRPr="00573580">
        <w:rPr>
          <w:rFonts w:ascii="Times New Roman" w:hAnsi="Times New Roman"/>
        </w:rPr>
        <w:t>Инвестиционната програма за общински проекти.</w:t>
      </w:r>
      <w:r w:rsidR="00573580" w:rsidRPr="00573580">
        <w:rPr>
          <w:rFonts w:ascii="Times New Roman" w:hAnsi="Times New Roman"/>
          <w:lang w:val="en-US"/>
        </w:rPr>
        <w:t xml:space="preserve"> </w:t>
      </w:r>
      <w:r w:rsidR="00573580" w:rsidRPr="00573580">
        <w:rPr>
          <w:rFonts w:ascii="Times New Roman" w:hAnsi="Times New Roman"/>
          <w:lang w:val="ru-RU"/>
        </w:rPr>
        <w:t>Съпоставено с 2022 г. капиталовите разходи нарастват номинално с 3 496,0 млн. лева</w:t>
      </w:r>
      <w:r w:rsidRPr="003847B7">
        <w:rPr>
          <w:rFonts w:ascii="Times New Roman" w:hAnsi="Times New Roman"/>
        </w:rPr>
        <w:t>.</w:t>
      </w:r>
      <w:r w:rsidRPr="003847B7">
        <w:rPr>
          <w:rFonts w:ascii="Times New Roman" w:hAnsi="Times New Roman"/>
          <w:lang w:val="ru-RU"/>
        </w:rPr>
        <w:t xml:space="preserve">  </w:t>
      </w:r>
    </w:p>
    <w:p w14:paraId="04710F7A" w14:textId="77777777" w:rsidR="003C31AC" w:rsidRPr="001050E8" w:rsidRDefault="003C31AC" w:rsidP="003C31AC">
      <w:pPr>
        <w:spacing w:before="120" w:after="120"/>
        <w:jc w:val="both"/>
        <w:rPr>
          <w:color w:val="0070C0"/>
        </w:rPr>
      </w:pPr>
      <w:r w:rsidRPr="00C71824">
        <w:rPr>
          <w:b/>
          <w:i/>
        </w:rPr>
        <w:t>Нелихвените разходи</w:t>
      </w:r>
      <w:r w:rsidRPr="00C71824">
        <w:t xml:space="preserve"> към декември 2023 г. са в размер на </w:t>
      </w:r>
      <w:r w:rsidRPr="00C71824">
        <w:rPr>
          <w:lang w:val="ru-RU"/>
        </w:rPr>
        <w:t>69 996,7</w:t>
      </w:r>
      <w:r w:rsidRPr="00C71824">
        <w:t xml:space="preserve"> млн. лв.</w:t>
      </w:r>
      <w:r w:rsidRPr="00C71824">
        <w:rPr>
          <w:rFonts w:eastAsia="Calibri"/>
          <w:bCs/>
        </w:rPr>
        <w:t xml:space="preserve">, </w:t>
      </w:r>
      <w:r w:rsidRPr="00C71824">
        <w:t xml:space="preserve">което </w:t>
      </w:r>
      <w:r w:rsidRPr="00326917">
        <w:t>представлява 98,8 % от годишния разчет</w:t>
      </w:r>
      <w:r w:rsidRPr="00326917">
        <w:rPr>
          <w:rFonts w:eastAsia="Calibri"/>
          <w:bCs/>
        </w:rPr>
        <w:t>.</w:t>
      </w:r>
      <w:r w:rsidRPr="00326917">
        <w:t xml:space="preserve"> </w:t>
      </w:r>
      <w:r w:rsidRPr="00326917">
        <w:rPr>
          <w:i/>
        </w:rPr>
        <w:t>Текущите нелихвени разходи</w:t>
      </w:r>
      <w:r w:rsidRPr="00326917">
        <w:t xml:space="preserve"> са в размер на 60 729,8 млн. лв. </w:t>
      </w:r>
      <w:r w:rsidRPr="00326917">
        <w:rPr>
          <w:i/>
        </w:rPr>
        <w:t>Капиталовите разходи</w:t>
      </w:r>
      <w:r w:rsidRPr="00326917">
        <w:t xml:space="preserve"> (вкл. нетния прираст на държавния резерв) възлизат на 9 202,7 млн. лв. </w:t>
      </w:r>
      <w:r w:rsidRPr="00326917">
        <w:rPr>
          <w:i/>
        </w:rPr>
        <w:t>Предоставените текущи и капиталови трансфери за чужбина</w:t>
      </w:r>
      <w:r w:rsidRPr="00326917">
        <w:t xml:space="preserve"> са в размер на 64,2 млн. лв. </w:t>
      </w:r>
      <w:r w:rsidRPr="00326917">
        <w:rPr>
          <w:b/>
          <w:i/>
        </w:rPr>
        <w:t>Лихвените плащания</w:t>
      </w:r>
      <w:r w:rsidRPr="00326917">
        <w:t xml:space="preserve"> са в размер на 830,8 млн. лв. </w:t>
      </w:r>
      <w:r w:rsidRPr="00326917">
        <w:rPr>
          <w:rFonts w:eastAsia="Calibri"/>
          <w:bCs/>
        </w:rPr>
        <w:t>(100,8 % спрямо планираните за 2023 година)</w:t>
      </w:r>
      <w:r w:rsidRPr="00326917">
        <w:t>.</w:t>
      </w:r>
    </w:p>
    <w:p w14:paraId="006B7CA9" w14:textId="77777777" w:rsidR="00F76A3F" w:rsidRPr="00664FA1" w:rsidRDefault="00F76A3F" w:rsidP="00F76A3F">
      <w:pPr>
        <w:spacing w:after="120"/>
        <w:jc w:val="both"/>
      </w:pPr>
      <w:r w:rsidRPr="00664FA1">
        <w:t>Отчетените разходи по основните разходни групи за 202</w:t>
      </w:r>
      <w:r>
        <w:rPr>
          <w:lang w:val="en-US"/>
        </w:rPr>
        <w:t>2</w:t>
      </w:r>
      <w:r w:rsidRPr="00664FA1">
        <w:t xml:space="preserve"> г. и 202</w:t>
      </w:r>
      <w:r>
        <w:rPr>
          <w:lang w:val="en-US"/>
        </w:rPr>
        <w:t>3</w:t>
      </w:r>
      <w:r w:rsidRPr="00664FA1">
        <w:t> г. са представени на следната графика:</w:t>
      </w:r>
    </w:p>
    <w:p w14:paraId="369A21DB" w14:textId="77777777" w:rsidR="00E84157" w:rsidRPr="001050E8" w:rsidRDefault="00E84157" w:rsidP="00E84157">
      <w:pPr>
        <w:spacing w:after="120"/>
        <w:jc w:val="both"/>
        <w:rPr>
          <w:color w:val="0070C0"/>
          <w:lang w:val="en-US"/>
        </w:rPr>
      </w:pPr>
      <w:r w:rsidRPr="001050E8">
        <w:rPr>
          <w:noProof/>
          <w:color w:val="0070C0"/>
          <w:lang w:eastAsia="bg-BG"/>
        </w:rPr>
        <w:drawing>
          <wp:inline distT="0" distB="0" distL="0" distR="0" wp14:anchorId="77AB8685" wp14:editId="0A548359">
            <wp:extent cx="6057900" cy="26670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11ACD2" w14:textId="77777777" w:rsidR="00E84157" w:rsidRPr="00501529" w:rsidRDefault="00E84157" w:rsidP="00E84157">
      <w:pPr>
        <w:ind w:left="360"/>
        <w:jc w:val="both"/>
        <w:rPr>
          <w:sz w:val="16"/>
          <w:szCs w:val="16"/>
        </w:rPr>
      </w:pPr>
      <w:bookmarkStart w:id="54" w:name="_MON_1549378791"/>
      <w:bookmarkStart w:id="55" w:name="_MON_1522508435"/>
      <w:bookmarkStart w:id="56" w:name="_MON_1522508500"/>
      <w:bookmarkStart w:id="57" w:name="_MON_1522508578"/>
      <w:bookmarkStart w:id="58" w:name="_MON_1522508396"/>
      <w:bookmarkStart w:id="59" w:name="_MON_1562166431"/>
      <w:bookmarkStart w:id="60" w:name="_MON_1562166533"/>
      <w:bookmarkStart w:id="61" w:name="_MON_1562166556"/>
      <w:bookmarkStart w:id="62" w:name="_MON_1562166578"/>
      <w:bookmarkStart w:id="63" w:name="_MON_1522569336"/>
      <w:bookmarkStart w:id="64" w:name="_MON_1541257307"/>
      <w:bookmarkStart w:id="65" w:name="_MON_1541257332"/>
      <w:bookmarkStart w:id="66" w:name="_MON_1522569451"/>
      <w:bookmarkStart w:id="67" w:name="_MON_1522569507"/>
      <w:bookmarkStart w:id="68" w:name="_MON_1549376308"/>
      <w:bookmarkStart w:id="69" w:name="_MON_1549378514"/>
      <w:bookmarkStart w:id="70" w:name="_MON_1549378678"/>
      <w:bookmarkStart w:id="71" w:name="_MON_154937872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01529">
        <w:rPr>
          <w:sz w:val="18"/>
          <w:szCs w:val="16"/>
          <w:lang w:val="ru-RU"/>
        </w:rPr>
        <w:t>*</w:t>
      </w:r>
      <w:r w:rsidRPr="00501529">
        <w:rPr>
          <w:sz w:val="16"/>
          <w:szCs w:val="16"/>
          <w:lang w:val="ru-RU"/>
        </w:rPr>
        <w:t xml:space="preserve">  </w:t>
      </w:r>
      <w:r w:rsidRPr="00501529">
        <w:rPr>
          <w:sz w:val="18"/>
          <w:szCs w:val="16"/>
        </w:rPr>
        <w:t>Вкл. нетния прираст на държавния резерв</w:t>
      </w:r>
    </w:p>
    <w:p w14:paraId="0B1FC690" w14:textId="77777777" w:rsidR="00CB5DA9" w:rsidRDefault="00CB5DA9" w:rsidP="00CB5DA9">
      <w:pPr>
        <w:jc w:val="both"/>
        <w:rPr>
          <w:color w:val="0070C0"/>
          <w:sz w:val="2"/>
          <w:szCs w:val="2"/>
        </w:rPr>
      </w:pPr>
    </w:p>
    <w:p w14:paraId="5D1146B8" w14:textId="77777777" w:rsidR="00CB5DA9" w:rsidRDefault="00CB5DA9" w:rsidP="00CB5DA9">
      <w:pPr>
        <w:spacing w:after="120"/>
        <w:jc w:val="both"/>
        <w:rPr>
          <w:rFonts w:eastAsia="Calibri"/>
          <w:b/>
          <w:bCs/>
          <w:color w:val="0070C0"/>
        </w:rPr>
      </w:pPr>
    </w:p>
    <w:p w14:paraId="7AD2FAD3" w14:textId="77777777" w:rsidR="0010424C" w:rsidRPr="00CA0EE0" w:rsidRDefault="0010424C" w:rsidP="0010424C">
      <w:pPr>
        <w:pStyle w:val="ListParagraph"/>
        <w:numPr>
          <w:ilvl w:val="0"/>
          <w:numId w:val="24"/>
        </w:numPr>
        <w:tabs>
          <w:tab w:val="left" w:pos="426"/>
        </w:tabs>
        <w:spacing w:before="120" w:line="240" w:lineRule="auto"/>
        <w:ind w:left="0" w:firstLine="0"/>
        <w:contextualSpacing w:val="0"/>
        <w:rPr>
          <w:rFonts w:ascii="Times New Roman" w:hAnsi="Times New Roman"/>
        </w:rPr>
      </w:pPr>
      <w:r w:rsidRPr="00CA0EE0">
        <w:rPr>
          <w:rFonts w:ascii="Times New Roman" w:hAnsi="Times New Roman"/>
          <w:b/>
        </w:rPr>
        <w:t>Частта от вноската на Република България в общия бюджет на ЕС</w:t>
      </w:r>
      <w:r w:rsidRPr="00CA0EE0">
        <w:rPr>
          <w:rFonts w:ascii="Times New Roman" w:hAnsi="Times New Roman"/>
        </w:rPr>
        <w:t xml:space="preserve">, изплатена към </w:t>
      </w:r>
      <w:r w:rsidR="00E762C0" w:rsidRPr="00CA0EE0">
        <w:rPr>
          <w:rFonts w:ascii="Times New Roman" w:hAnsi="Times New Roman"/>
        </w:rPr>
        <w:t>31.12.2023</w:t>
      </w:r>
      <w:r w:rsidR="00E762C0" w:rsidRPr="00CA0EE0">
        <w:rPr>
          <w:rFonts w:ascii="Times New Roman" w:hAnsi="Times New Roman"/>
          <w:lang w:val="en-US"/>
        </w:rPr>
        <w:t xml:space="preserve"> </w:t>
      </w:r>
      <w:r w:rsidRPr="00CA0EE0">
        <w:rPr>
          <w:rFonts w:ascii="Times New Roman" w:hAnsi="Times New Roman"/>
        </w:rPr>
        <w:t xml:space="preserve">г. от централния бюджет, възлиза на </w:t>
      </w:r>
      <w:r w:rsidR="00E762C0" w:rsidRPr="00CA0EE0">
        <w:rPr>
          <w:rFonts w:ascii="Times New Roman" w:hAnsi="Times New Roman"/>
          <w:b/>
          <w:bCs/>
          <w:lang w:val="ru-RU"/>
        </w:rPr>
        <w:t xml:space="preserve">1 849,9 </w:t>
      </w:r>
      <w:r w:rsidRPr="00CA0EE0">
        <w:rPr>
          <w:rFonts w:ascii="Times New Roman" w:hAnsi="Times New Roman"/>
          <w:b/>
        </w:rPr>
        <w:t>млн. лв.</w:t>
      </w:r>
      <w:r w:rsidRPr="00CA0EE0">
        <w:rPr>
          <w:rFonts w:ascii="Times New Roman" w:hAnsi="Times New Roman"/>
        </w:rPr>
        <w:t xml:space="preserve">, </w:t>
      </w:r>
      <w:r w:rsidRPr="00CA0EE0">
        <w:rPr>
          <w:rFonts w:ascii="Times New Roman" w:eastAsia="Calibri" w:hAnsi="Times New Roman"/>
        </w:rPr>
        <w:t>което е в изпълнение на действащото към момента законодателство в областта на собствените ресурси на ЕС</w:t>
      </w:r>
      <w:r w:rsidRPr="00CA0EE0">
        <w:rPr>
          <w:rFonts w:ascii="Times New Roman" w:hAnsi="Times New Roman"/>
        </w:rPr>
        <w:t xml:space="preserve">. </w:t>
      </w:r>
    </w:p>
    <w:p w14:paraId="0AED65C5" w14:textId="08204F3F" w:rsidR="0010424C" w:rsidRPr="00095288" w:rsidRDefault="00831870" w:rsidP="00264FA8">
      <w:pPr>
        <w:pStyle w:val="ListParagraph"/>
        <w:numPr>
          <w:ilvl w:val="0"/>
          <w:numId w:val="37"/>
        </w:numPr>
        <w:shd w:val="clear" w:color="auto" w:fill="FFFFFF"/>
        <w:tabs>
          <w:tab w:val="left" w:pos="426"/>
        </w:tabs>
        <w:spacing w:after="0" w:line="240" w:lineRule="auto"/>
        <w:ind w:left="0" w:firstLine="0"/>
        <w:rPr>
          <w:color w:val="4F81BD" w:themeColor="accent1"/>
        </w:rPr>
      </w:pPr>
      <w:r w:rsidRPr="00CA0EE0">
        <w:rPr>
          <w:rFonts w:ascii="Times New Roman" w:hAnsi="Times New Roman"/>
          <w:b/>
        </w:rPr>
        <w:t>Бюджетно</w:t>
      </w:r>
      <w:r w:rsidR="0010424C" w:rsidRPr="00CA0EE0">
        <w:rPr>
          <w:rFonts w:ascii="Times New Roman" w:hAnsi="Times New Roman"/>
          <w:b/>
        </w:rPr>
        <w:t xml:space="preserve"> салдо </w:t>
      </w:r>
      <w:r w:rsidR="00095288" w:rsidRPr="00CA0EE0">
        <w:rPr>
          <w:rFonts w:ascii="Times New Roman" w:hAnsi="Times New Roman"/>
          <w:b/>
        </w:rPr>
        <w:t xml:space="preserve">- </w:t>
      </w:r>
      <w:r w:rsidR="00264FA8" w:rsidRPr="00CA0EE0">
        <w:rPr>
          <w:rFonts w:ascii="Times New Roman" w:hAnsi="Times New Roman"/>
          <w:bCs/>
        </w:rPr>
        <w:t>на база на данните от месечните отчети салдо</w:t>
      </w:r>
      <w:r w:rsidR="004D721D" w:rsidRPr="00CA0EE0">
        <w:rPr>
          <w:rFonts w:ascii="Times New Roman" w:hAnsi="Times New Roman"/>
          <w:bCs/>
        </w:rPr>
        <w:t>то</w:t>
      </w:r>
      <w:r w:rsidR="00264FA8" w:rsidRPr="00CA0EE0">
        <w:rPr>
          <w:rFonts w:ascii="Times New Roman" w:hAnsi="Times New Roman"/>
          <w:bCs/>
        </w:rPr>
        <w:t xml:space="preserve"> по КФП за 2023 г. </w:t>
      </w:r>
      <w:r w:rsidR="00CA1B90" w:rsidRPr="00CA1B90">
        <w:rPr>
          <w:rFonts w:ascii="Times New Roman" w:hAnsi="Times New Roman"/>
          <w:bCs/>
        </w:rPr>
        <w:t>е дефицит в размер на 2,9 % от прогнозния БВП, като той се формира от дефицит в размер на 2,8 % от прогнозния БВП по националния бюджет и дефицит в размер на 0,1 % от прогнозния БВП по европейските средства. Салдото по КФП съответства на изискването на фискалното правило по смисъла на чл. 27, ал. 4 от Закона за публичните финанси. Предварителните данни сочат, че е постигнато подобрение спрямо заложеното целево ниво на индикативното салдо по КФП в очакваното изпълнение за 2023 г. към Актуализираната средносрочна бюджетна прогноза 2024-2026 г., което е дефицит</w:t>
      </w:r>
      <w:r w:rsidR="00CA1B90" w:rsidRPr="00CA1B90">
        <w:rPr>
          <w:rFonts w:ascii="Times New Roman" w:hAnsi="Times New Roman"/>
          <w:bCs/>
          <w:lang w:val="ru-RU"/>
        </w:rPr>
        <w:t xml:space="preserve"> </w:t>
      </w:r>
      <w:r w:rsidR="00CA1B90" w:rsidRPr="00CA1B90">
        <w:rPr>
          <w:rFonts w:ascii="Times New Roman" w:hAnsi="Times New Roman"/>
          <w:bCs/>
        </w:rPr>
        <w:t>в размер на 3% от прогнозния БВП</w:t>
      </w:r>
      <w:r w:rsidR="00264FA8">
        <w:rPr>
          <w:rFonts w:ascii="Times New Roman" w:hAnsi="Times New Roman"/>
          <w:lang w:val="en-US"/>
        </w:rPr>
        <w:t>.</w:t>
      </w:r>
    </w:p>
    <w:p w14:paraId="5065E672" w14:textId="77777777" w:rsidR="0010424C" w:rsidRPr="005D46E5" w:rsidRDefault="0010424C" w:rsidP="0010424C">
      <w:pPr>
        <w:numPr>
          <w:ilvl w:val="0"/>
          <w:numId w:val="8"/>
        </w:numPr>
        <w:tabs>
          <w:tab w:val="num" w:pos="0"/>
          <w:tab w:val="left" w:pos="426"/>
          <w:tab w:val="left" w:pos="720"/>
        </w:tabs>
        <w:spacing w:before="120" w:after="60"/>
        <w:ind w:left="0" w:firstLine="0"/>
        <w:jc w:val="both"/>
        <w:rPr>
          <w:sz w:val="22"/>
        </w:rPr>
      </w:pPr>
      <w:r w:rsidRPr="005D46E5">
        <w:rPr>
          <w:b/>
          <w:szCs w:val="28"/>
        </w:rPr>
        <w:t>Общият размер</w:t>
      </w:r>
      <w:r w:rsidRPr="005D46E5">
        <w:rPr>
          <w:bCs/>
          <w:sz w:val="22"/>
        </w:rPr>
        <w:t xml:space="preserve"> </w:t>
      </w:r>
      <w:r w:rsidRPr="005D46E5">
        <w:rPr>
          <w:b/>
          <w:bCs/>
          <w:szCs w:val="28"/>
        </w:rPr>
        <w:t>на касовите постъпления от ЕС</w:t>
      </w:r>
      <w:r w:rsidRPr="005D46E5">
        <w:rPr>
          <w:bCs/>
          <w:szCs w:val="28"/>
        </w:rPr>
        <w:t xml:space="preserve"> (от Структурните и Кохезионния фондове, от</w:t>
      </w:r>
      <w:r w:rsidRPr="005D46E5">
        <w:rPr>
          <w:szCs w:val="28"/>
        </w:rPr>
        <w:t xml:space="preserve"> ЕЗФРСР и ЕФМДР</w:t>
      </w:r>
      <w:r w:rsidRPr="005D46E5">
        <w:rPr>
          <w:bCs/>
          <w:szCs w:val="28"/>
        </w:rPr>
        <w:t xml:space="preserve">, от средства за директни плащания към земеделските производители и плащания по пазарни мерки и др.) за </w:t>
      </w:r>
      <w:r w:rsidRPr="005D46E5">
        <w:rPr>
          <w:szCs w:val="28"/>
        </w:rPr>
        <w:t>2023</w:t>
      </w:r>
      <w:r w:rsidRPr="005D46E5">
        <w:rPr>
          <w:bCs/>
          <w:szCs w:val="28"/>
        </w:rPr>
        <w:t xml:space="preserve"> г. е </w:t>
      </w:r>
      <w:r w:rsidR="005D46E5" w:rsidRPr="005D46E5">
        <w:rPr>
          <w:b/>
          <w:bCs/>
          <w:szCs w:val="28"/>
        </w:rPr>
        <w:t>5 561,1</w:t>
      </w:r>
      <w:r w:rsidRPr="005D46E5">
        <w:rPr>
          <w:b/>
          <w:bCs/>
          <w:szCs w:val="28"/>
        </w:rPr>
        <w:t> млн. лв.</w:t>
      </w:r>
      <w:r w:rsidRPr="005D46E5">
        <w:rPr>
          <w:b/>
          <w:szCs w:val="28"/>
        </w:rPr>
        <w:t xml:space="preserve"> </w:t>
      </w:r>
      <w:r w:rsidRPr="005D46E5">
        <w:rPr>
          <w:b/>
          <w:bCs/>
          <w:szCs w:val="28"/>
        </w:rPr>
        <w:t xml:space="preserve">Нетните постъпления от ЕС към </w:t>
      </w:r>
      <w:r w:rsidR="005D46E5" w:rsidRPr="005D46E5">
        <w:rPr>
          <w:b/>
          <w:bCs/>
          <w:szCs w:val="28"/>
        </w:rPr>
        <w:t>31</w:t>
      </w:r>
      <w:r w:rsidRPr="005D46E5">
        <w:rPr>
          <w:b/>
          <w:bCs/>
          <w:szCs w:val="28"/>
        </w:rPr>
        <w:t>.</w:t>
      </w:r>
      <w:r w:rsidR="005D46E5" w:rsidRPr="005D46E5">
        <w:rPr>
          <w:b/>
          <w:bCs/>
          <w:szCs w:val="28"/>
        </w:rPr>
        <w:t>12</w:t>
      </w:r>
      <w:r w:rsidRPr="005D46E5">
        <w:rPr>
          <w:b/>
          <w:bCs/>
          <w:szCs w:val="28"/>
        </w:rPr>
        <w:t xml:space="preserve">.2023 г. </w:t>
      </w:r>
      <w:r w:rsidRPr="005D46E5">
        <w:rPr>
          <w:bCs/>
          <w:szCs w:val="28"/>
        </w:rPr>
        <w:t xml:space="preserve">(касови постъпления от ЕС, намалени с вноската в общия бюджет на ЕС) са положителни в размер на </w:t>
      </w:r>
      <w:r w:rsidR="005D46E5" w:rsidRPr="005D46E5">
        <w:rPr>
          <w:b/>
          <w:bCs/>
          <w:szCs w:val="28"/>
        </w:rPr>
        <w:t>3 711,2</w:t>
      </w:r>
      <w:r w:rsidRPr="005D46E5">
        <w:rPr>
          <w:b/>
          <w:bCs/>
          <w:szCs w:val="28"/>
        </w:rPr>
        <w:t xml:space="preserve"> млн. лева</w:t>
      </w:r>
      <w:r w:rsidRPr="005D46E5">
        <w:rPr>
          <w:sz w:val="22"/>
        </w:rPr>
        <w:t>.</w:t>
      </w:r>
    </w:p>
    <w:p w14:paraId="70467FDF" w14:textId="04B4BC92" w:rsidR="0010424C" w:rsidRPr="00143564" w:rsidRDefault="0010424C" w:rsidP="0010424C">
      <w:pPr>
        <w:numPr>
          <w:ilvl w:val="2"/>
          <w:numId w:val="14"/>
        </w:numPr>
        <w:tabs>
          <w:tab w:val="left" w:pos="426"/>
        </w:tabs>
        <w:spacing w:before="120" w:after="240"/>
        <w:ind w:left="0" w:firstLine="0"/>
        <w:jc w:val="both"/>
        <w:rPr>
          <w:sz w:val="8"/>
          <w:szCs w:val="8"/>
        </w:rPr>
      </w:pPr>
      <w:r w:rsidRPr="0043286C">
        <w:rPr>
          <w:b/>
        </w:rPr>
        <w:t>Фискалният резерв</w:t>
      </w:r>
      <w:r w:rsidRPr="0043286C">
        <w:rPr>
          <w:b/>
          <w:bCs/>
          <w:vertAlign w:val="superscript"/>
          <w:lang w:eastAsia="bg-BG"/>
        </w:rPr>
        <w:footnoteReference w:id="7"/>
      </w:r>
      <w:r w:rsidRPr="0043286C">
        <w:rPr>
          <w:bCs/>
          <w:lang w:eastAsia="bg-BG"/>
        </w:rPr>
        <w:t xml:space="preserve"> </w:t>
      </w:r>
      <w:r w:rsidRPr="0043286C">
        <w:rPr>
          <w:bCs/>
        </w:rPr>
        <w:t xml:space="preserve">към </w:t>
      </w:r>
      <w:r w:rsidR="0043286C" w:rsidRPr="0043286C">
        <w:rPr>
          <w:bCs/>
        </w:rPr>
        <w:t xml:space="preserve">31.12.2023 г. е </w:t>
      </w:r>
      <w:r w:rsidR="0043286C" w:rsidRPr="0043286C">
        <w:rPr>
          <w:b/>
          <w:bCs/>
        </w:rPr>
        <w:t>13,4 млрд. лв</w:t>
      </w:r>
      <w:r w:rsidR="0043286C" w:rsidRPr="0043286C">
        <w:rPr>
          <w:bCs/>
        </w:rPr>
        <w:t>., в т.ч. 10,9 млрд. лв. депозити на фискалния резерв в БНБ и банки и 2,5 млрд. лв. вземания от фондовете на Европейския съюз за сертифицирани разходи, аванси и други</w:t>
      </w:r>
      <w:r w:rsidRPr="0043286C">
        <w:rPr>
          <w:bCs/>
          <w:lang w:eastAsia="bg-BG"/>
        </w:rPr>
        <w:t>.</w:t>
      </w:r>
      <w:r w:rsidRPr="0043286C">
        <w:rPr>
          <w:bCs/>
        </w:rPr>
        <w:t xml:space="preserve"> </w:t>
      </w:r>
    </w:p>
    <w:p w14:paraId="24B2DDAB" w14:textId="2307A38C" w:rsidR="00143564" w:rsidRDefault="00143564">
      <w:pPr>
        <w:rPr>
          <w:sz w:val="8"/>
          <w:szCs w:val="8"/>
        </w:rPr>
      </w:pPr>
      <w:r>
        <w:rPr>
          <w:sz w:val="8"/>
          <w:szCs w:val="8"/>
        </w:rPr>
        <w:br w:type="page"/>
      </w:r>
    </w:p>
    <w:p w14:paraId="5D299391" w14:textId="77777777" w:rsidR="00222173" w:rsidRPr="00900FBF" w:rsidRDefault="00222173" w:rsidP="00691C48">
      <w:pPr>
        <w:keepNext/>
        <w:numPr>
          <w:ilvl w:val="0"/>
          <w:numId w:val="9"/>
        </w:numPr>
        <w:ind w:right="-108"/>
        <w:jc w:val="both"/>
        <w:outlineLvl w:val="0"/>
        <w:rPr>
          <w:b/>
          <w:bCs/>
        </w:rPr>
      </w:pPr>
      <w:r w:rsidRPr="00900FBF">
        <w:rPr>
          <w:b/>
          <w:bCs/>
        </w:rPr>
        <w:t>Изпълнение на държавния бюджет</w:t>
      </w:r>
      <w:r w:rsidRPr="00900FBF">
        <w:rPr>
          <w:b/>
          <w:sz w:val="20"/>
          <w:szCs w:val="20"/>
          <w:vertAlign w:val="superscript"/>
        </w:rPr>
        <w:footnoteReference w:id="8"/>
      </w:r>
      <w:r w:rsidRPr="00900FBF">
        <w:rPr>
          <w:b/>
          <w:bCs/>
        </w:rPr>
        <w:t xml:space="preserve"> за 202</w:t>
      </w:r>
      <w:r w:rsidR="00E90B5E" w:rsidRPr="00900FBF">
        <w:rPr>
          <w:b/>
          <w:bCs/>
        </w:rPr>
        <w:t>3</w:t>
      </w:r>
      <w:r w:rsidRPr="00900FBF">
        <w:rPr>
          <w:b/>
          <w:bCs/>
        </w:rPr>
        <w:t xml:space="preserve"> г.</w:t>
      </w:r>
    </w:p>
    <w:p w14:paraId="1F0F1C1C" w14:textId="77777777" w:rsidR="006C2C5B" w:rsidRPr="006C2C5B" w:rsidRDefault="006C2C5B" w:rsidP="006C2C5B">
      <w:pPr>
        <w:tabs>
          <w:tab w:val="left" w:pos="1080"/>
        </w:tabs>
        <w:spacing w:before="120"/>
        <w:jc w:val="both"/>
      </w:pPr>
      <w:r w:rsidRPr="006C2C5B">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21B6305F" w14:textId="77777777" w:rsidR="006C2C5B" w:rsidRPr="006C2C5B" w:rsidRDefault="006C2C5B" w:rsidP="006C2C5B">
      <w:pPr>
        <w:spacing w:after="120"/>
        <w:ind w:right="-244"/>
        <w:rPr>
          <w:b/>
          <w:bCs/>
          <w:color w:val="0070C0"/>
          <w:sz w:val="20"/>
          <w:szCs w:val="20"/>
          <w:lang w:eastAsia="bg-BG"/>
        </w:rPr>
      </w:pPr>
      <w:r w:rsidRPr="006C2C5B">
        <w:rPr>
          <w:b/>
          <w:bCs/>
          <w:color w:val="0070C0"/>
          <w:sz w:val="20"/>
          <w:szCs w:val="20"/>
          <w:lang w:eastAsia="bg-BG"/>
        </w:rPr>
        <w:t xml:space="preserve">            </w:t>
      </w:r>
    </w:p>
    <w:p w14:paraId="656A69F3" w14:textId="77777777" w:rsidR="006C2C5B" w:rsidRPr="006C2C5B" w:rsidRDefault="006C2C5B" w:rsidP="006C2C5B">
      <w:pPr>
        <w:spacing w:after="120"/>
        <w:ind w:right="-244"/>
        <w:rPr>
          <w:b/>
          <w:bCs/>
          <w:sz w:val="20"/>
          <w:szCs w:val="20"/>
          <w:lang w:eastAsia="bg-BG"/>
        </w:rPr>
      </w:pPr>
      <w:r w:rsidRPr="006C2C5B">
        <w:rPr>
          <w:b/>
          <w:bCs/>
          <w:sz w:val="20"/>
          <w:szCs w:val="20"/>
          <w:lang w:eastAsia="bg-BG"/>
        </w:rPr>
        <w:t>Таблица</w:t>
      </w:r>
      <w:r w:rsidRPr="006C2C5B">
        <w:rPr>
          <w:vertAlign w:val="superscript"/>
          <w:lang w:eastAsia="bg-BG"/>
        </w:rPr>
        <w:footnoteReference w:id="9"/>
      </w:r>
      <w:r w:rsidRPr="006C2C5B">
        <w:rPr>
          <w:b/>
          <w:bCs/>
          <w:sz w:val="20"/>
          <w:szCs w:val="20"/>
          <w:lang w:eastAsia="bg-BG"/>
        </w:rPr>
        <w:t xml:space="preserve">  №1      </w:t>
      </w:r>
      <w:r w:rsidRPr="006C2C5B">
        <w:rPr>
          <w:b/>
          <w:bCs/>
          <w:sz w:val="20"/>
          <w:szCs w:val="20"/>
          <w:lang w:eastAsia="bg-BG"/>
        </w:rPr>
        <w:tab/>
      </w:r>
      <w:r w:rsidRPr="006C2C5B">
        <w:rPr>
          <w:b/>
          <w:bCs/>
          <w:sz w:val="20"/>
          <w:szCs w:val="20"/>
          <w:lang w:eastAsia="bg-BG"/>
        </w:rPr>
        <w:tab/>
        <w:t xml:space="preserve">                                          </w:t>
      </w:r>
      <w:r w:rsidRPr="006C2C5B">
        <w:rPr>
          <w:b/>
          <w:bCs/>
          <w:sz w:val="20"/>
          <w:szCs w:val="20"/>
          <w:lang w:eastAsia="bg-BG"/>
        </w:rPr>
        <w:tab/>
      </w:r>
      <w:r w:rsidRPr="006C2C5B">
        <w:rPr>
          <w:b/>
          <w:bCs/>
          <w:sz w:val="20"/>
          <w:szCs w:val="20"/>
          <w:lang w:eastAsia="bg-BG"/>
        </w:rPr>
        <w:tab/>
      </w:r>
      <w:r w:rsidRPr="006C2C5B">
        <w:rPr>
          <w:b/>
          <w:bCs/>
          <w:sz w:val="20"/>
          <w:szCs w:val="20"/>
          <w:lang w:eastAsia="bg-BG"/>
        </w:rPr>
        <w:tab/>
      </w:r>
      <w:r w:rsidRPr="006C2C5B">
        <w:rPr>
          <w:b/>
          <w:bCs/>
          <w:sz w:val="20"/>
          <w:szCs w:val="20"/>
          <w:lang w:eastAsia="bg-BG"/>
        </w:rPr>
        <w:tab/>
        <w:t xml:space="preserve">  (млн. лв.)</w:t>
      </w: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6C2C5B" w:rsidRPr="006C2C5B" w14:paraId="6D6CCC7E" w14:textId="77777777" w:rsidTr="00B94232">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3E6F8D62" w14:textId="77777777" w:rsidR="006C2C5B" w:rsidRPr="006C2C5B" w:rsidRDefault="006C2C5B" w:rsidP="006C2C5B">
            <w:pPr>
              <w:jc w:val="center"/>
              <w:rPr>
                <w:b/>
                <w:bCs/>
                <w:sz w:val="18"/>
                <w:szCs w:val="18"/>
                <w:lang w:eastAsia="bg-BG"/>
              </w:rPr>
            </w:pPr>
            <w:r w:rsidRPr="006C2C5B">
              <w:rPr>
                <w:b/>
                <w:bCs/>
                <w:sz w:val="18"/>
                <w:szCs w:val="18"/>
                <w:lang w:eastAsia="bg-BG"/>
              </w:rPr>
              <w:t>ПОКАЗАТЕЛИ</w:t>
            </w:r>
          </w:p>
        </w:tc>
        <w:tc>
          <w:tcPr>
            <w:tcW w:w="1276" w:type="dxa"/>
            <w:tcBorders>
              <w:top w:val="single" w:sz="8" w:space="0" w:color="auto"/>
              <w:left w:val="nil"/>
              <w:bottom w:val="single" w:sz="4" w:space="0" w:color="auto"/>
              <w:right w:val="nil"/>
            </w:tcBorders>
            <w:shd w:val="clear" w:color="auto" w:fill="auto"/>
            <w:vAlign w:val="center"/>
          </w:tcPr>
          <w:p w14:paraId="588FB6FA" w14:textId="77777777" w:rsidR="006C2C5B" w:rsidRPr="006C2C5B" w:rsidRDefault="006C2C5B" w:rsidP="006C2C5B">
            <w:pPr>
              <w:jc w:val="center"/>
              <w:rPr>
                <w:b/>
                <w:bCs/>
                <w:sz w:val="18"/>
                <w:szCs w:val="18"/>
                <w:lang w:eastAsia="bg-BG"/>
              </w:rPr>
            </w:pPr>
            <w:r w:rsidRPr="006C2C5B">
              <w:rPr>
                <w:b/>
                <w:bCs/>
                <w:sz w:val="18"/>
                <w:szCs w:val="18"/>
                <w:lang w:eastAsia="bg-BG"/>
              </w:rPr>
              <w:t xml:space="preserve">ЗДБРБ    </w:t>
            </w:r>
            <w:r w:rsidRPr="006C2C5B">
              <w:rPr>
                <w:b/>
                <w:bCs/>
                <w:sz w:val="18"/>
                <w:szCs w:val="18"/>
                <w:highlight w:val="yellow"/>
                <w:lang w:eastAsia="bg-BG"/>
              </w:rPr>
              <w:t xml:space="preserve"> </w:t>
            </w:r>
            <w:r w:rsidRPr="006C2C5B">
              <w:rPr>
                <w:b/>
                <w:bCs/>
                <w:sz w:val="18"/>
                <w:szCs w:val="18"/>
                <w:lang w:eastAsia="bg-BG"/>
              </w:rPr>
              <w:t>2023 г.</w:t>
            </w:r>
          </w:p>
        </w:tc>
        <w:tc>
          <w:tcPr>
            <w:tcW w:w="1616" w:type="dxa"/>
            <w:tcBorders>
              <w:top w:val="single" w:sz="8" w:space="0" w:color="auto"/>
              <w:left w:val="nil"/>
              <w:bottom w:val="single" w:sz="4" w:space="0" w:color="auto"/>
              <w:right w:val="nil"/>
            </w:tcBorders>
            <w:shd w:val="clear" w:color="auto" w:fill="auto"/>
            <w:vAlign w:val="center"/>
          </w:tcPr>
          <w:p w14:paraId="1C6B6E83" w14:textId="77777777" w:rsidR="006C2C5B" w:rsidRPr="006C2C5B" w:rsidRDefault="006C2C5B" w:rsidP="006C2C5B">
            <w:pPr>
              <w:jc w:val="center"/>
              <w:rPr>
                <w:b/>
                <w:bCs/>
                <w:sz w:val="18"/>
                <w:szCs w:val="18"/>
                <w:lang w:eastAsia="bg-BG"/>
              </w:rPr>
            </w:pPr>
            <w:r w:rsidRPr="006C2C5B">
              <w:rPr>
                <w:b/>
                <w:bCs/>
                <w:sz w:val="18"/>
                <w:szCs w:val="18"/>
                <w:lang w:eastAsia="bg-BG"/>
              </w:rPr>
              <w:t xml:space="preserve">Отчет </w:t>
            </w:r>
          </w:p>
          <w:p w14:paraId="607B5B53" w14:textId="77777777" w:rsidR="006C2C5B" w:rsidRPr="006C2C5B" w:rsidRDefault="00E11054" w:rsidP="006C2C5B">
            <w:pPr>
              <w:jc w:val="center"/>
              <w:rPr>
                <w:b/>
                <w:bCs/>
                <w:sz w:val="18"/>
                <w:szCs w:val="18"/>
                <w:lang w:eastAsia="bg-BG"/>
              </w:rPr>
            </w:pPr>
            <w:r>
              <w:rPr>
                <w:b/>
                <w:bCs/>
                <w:sz w:val="18"/>
                <w:szCs w:val="18"/>
                <w:lang w:eastAsia="bg-BG"/>
              </w:rPr>
              <w:t xml:space="preserve">    </w:t>
            </w:r>
            <w:r w:rsidR="006C2C5B" w:rsidRPr="006C2C5B">
              <w:rPr>
                <w:b/>
                <w:bCs/>
                <w:sz w:val="18"/>
                <w:szCs w:val="18"/>
                <w:lang w:eastAsia="bg-BG"/>
              </w:rPr>
              <w:t>2023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776B60C8" w14:textId="77777777" w:rsidR="006C2C5B" w:rsidRPr="006C2C5B" w:rsidRDefault="006C2C5B" w:rsidP="006C2C5B">
            <w:pPr>
              <w:jc w:val="center"/>
              <w:rPr>
                <w:b/>
                <w:bCs/>
                <w:sz w:val="18"/>
                <w:szCs w:val="18"/>
                <w:lang w:eastAsia="bg-BG"/>
              </w:rPr>
            </w:pPr>
            <w:r w:rsidRPr="006C2C5B">
              <w:rPr>
                <w:b/>
                <w:bCs/>
                <w:sz w:val="18"/>
                <w:szCs w:val="18"/>
                <w:lang w:eastAsia="bg-BG"/>
              </w:rPr>
              <w:t>Изпълнение спрямо ЗДБРБ 2023 г.</w:t>
            </w:r>
          </w:p>
        </w:tc>
      </w:tr>
      <w:tr w:rsidR="006C2C5B" w:rsidRPr="006C2C5B" w14:paraId="4601A05A" w14:textId="77777777" w:rsidTr="00B94232">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1EDF716" w14:textId="77777777" w:rsidR="006C2C5B" w:rsidRPr="006C2C5B" w:rsidRDefault="006C2C5B" w:rsidP="006C2C5B">
            <w:pPr>
              <w:rPr>
                <w:b/>
                <w:bCs/>
                <w:sz w:val="18"/>
                <w:szCs w:val="18"/>
                <w:lang w:eastAsia="bg-BG"/>
              </w:rPr>
            </w:pPr>
            <w:r w:rsidRPr="006C2C5B">
              <w:rPr>
                <w:b/>
                <w:bCs/>
                <w:sz w:val="18"/>
                <w:szCs w:val="18"/>
                <w:lang w:eastAsia="bg-BG"/>
              </w:rPr>
              <w:t>Общо приходи, помощи и дарения</w:t>
            </w:r>
          </w:p>
        </w:tc>
        <w:tc>
          <w:tcPr>
            <w:tcW w:w="1276" w:type="dxa"/>
            <w:tcBorders>
              <w:top w:val="single" w:sz="4" w:space="0" w:color="auto"/>
              <w:left w:val="nil"/>
              <w:bottom w:val="single" w:sz="4" w:space="0" w:color="auto"/>
              <w:right w:val="nil"/>
            </w:tcBorders>
            <w:shd w:val="clear" w:color="auto" w:fill="auto"/>
            <w:noWrap/>
            <w:vAlign w:val="bottom"/>
          </w:tcPr>
          <w:p w14:paraId="212CBD78" w14:textId="77777777" w:rsidR="006C2C5B" w:rsidRPr="006C2C5B" w:rsidRDefault="006C2C5B" w:rsidP="006C2C5B">
            <w:pPr>
              <w:jc w:val="right"/>
              <w:rPr>
                <w:b/>
                <w:bCs/>
                <w:sz w:val="18"/>
                <w:szCs w:val="18"/>
                <w:lang w:eastAsia="bg-BG"/>
              </w:rPr>
            </w:pPr>
            <w:r w:rsidRPr="006C2C5B">
              <w:rPr>
                <w:b/>
                <w:bCs/>
                <w:sz w:val="18"/>
                <w:szCs w:val="18"/>
                <w:lang w:eastAsia="bg-BG"/>
              </w:rPr>
              <w:t>40 810,6</w:t>
            </w:r>
          </w:p>
        </w:tc>
        <w:tc>
          <w:tcPr>
            <w:tcW w:w="1616" w:type="dxa"/>
            <w:tcBorders>
              <w:top w:val="single" w:sz="4" w:space="0" w:color="auto"/>
              <w:left w:val="nil"/>
              <w:bottom w:val="single" w:sz="4" w:space="0" w:color="auto"/>
              <w:right w:val="nil"/>
            </w:tcBorders>
            <w:shd w:val="clear" w:color="auto" w:fill="auto"/>
            <w:noWrap/>
            <w:vAlign w:val="bottom"/>
          </w:tcPr>
          <w:p w14:paraId="4C6D5A18" w14:textId="77777777" w:rsidR="006C2C5B" w:rsidRPr="006C2C5B" w:rsidRDefault="006C2C5B" w:rsidP="006C2C5B">
            <w:pPr>
              <w:jc w:val="right"/>
              <w:rPr>
                <w:b/>
                <w:bCs/>
                <w:sz w:val="18"/>
                <w:szCs w:val="18"/>
                <w:lang w:eastAsia="bg-BG"/>
              </w:rPr>
            </w:pPr>
            <w:r w:rsidRPr="006C2C5B">
              <w:rPr>
                <w:b/>
                <w:bCs/>
                <w:sz w:val="18"/>
                <w:szCs w:val="18"/>
                <w:lang w:eastAsia="bg-BG"/>
              </w:rPr>
              <w:t>39 786,3</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1A262FBA" w14:textId="77777777" w:rsidR="006C2C5B" w:rsidRPr="006C2C5B" w:rsidRDefault="006C2C5B" w:rsidP="006C2C5B">
            <w:pPr>
              <w:jc w:val="right"/>
              <w:rPr>
                <w:b/>
                <w:bCs/>
                <w:sz w:val="18"/>
                <w:szCs w:val="18"/>
                <w:lang w:eastAsia="bg-BG"/>
              </w:rPr>
            </w:pPr>
            <w:r w:rsidRPr="006C2C5B">
              <w:rPr>
                <w:b/>
                <w:bCs/>
                <w:sz w:val="18"/>
                <w:szCs w:val="18"/>
                <w:lang w:eastAsia="bg-BG"/>
              </w:rPr>
              <w:t>97,5%</w:t>
            </w:r>
          </w:p>
        </w:tc>
      </w:tr>
      <w:tr w:rsidR="006C2C5B" w:rsidRPr="006C2C5B" w14:paraId="4C9FA14D" w14:textId="77777777" w:rsidTr="00B94232">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477175DC" w14:textId="77777777" w:rsidR="006C2C5B" w:rsidRPr="006C2C5B" w:rsidRDefault="006C2C5B" w:rsidP="006C2C5B">
            <w:pPr>
              <w:rPr>
                <w:sz w:val="18"/>
                <w:szCs w:val="18"/>
                <w:lang w:eastAsia="bg-BG"/>
              </w:rPr>
            </w:pPr>
            <w:r w:rsidRPr="006C2C5B">
              <w:rPr>
                <w:sz w:val="18"/>
                <w:szCs w:val="18"/>
                <w:lang w:eastAsia="bg-BG"/>
              </w:rPr>
              <w:t xml:space="preserve">   -Данъчни приходи</w:t>
            </w:r>
          </w:p>
        </w:tc>
        <w:tc>
          <w:tcPr>
            <w:tcW w:w="1276" w:type="dxa"/>
            <w:tcBorders>
              <w:top w:val="single" w:sz="4" w:space="0" w:color="auto"/>
              <w:left w:val="nil"/>
              <w:right w:val="nil"/>
            </w:tcBorders>
            <w:shd w:val="clear" w:color="auto" w:fill="auto"/>
            <w:noWrap/>
            <w:vAlign w:val="bottom"/>
          </w:tcPr>
          <w:p w14:paraId="66C3589A" w14:textId="77777777" w:rsidR="006C2C5B" w:rsidRPr="006C2C5B" w:rsidRDefault="006C2C5B" w:rsidP="006C2C5B">
            <w:pPr>
              <w:jc w:val="right"/>
              <w:rPr>
                <w:sz w:val="18"/>
                <w:szCs w:val="18"/>
                <w:lang w:eastAsia="bg-BG"/>
              </w:rPr>
            </w:pPr>
            <w:r w:rsidRPr="006C2C5B">
              <w:rPr>
                <w:sz w:val="18"/>
                <w:szCs w:val="18"/>
                <w:lang w:eastAsia="bg-BG"/>
              </w:rPr>
              <w:t>35 559,4</w:t>
            </w:r>
          </w:p>
        </w:tc>
        <w:tc>
          <w:tcPr>
            <w:tcW w:w="1616" w:type="dxa"/>
            <w:tcBorders>
              <w:top w:val="single" w:sz="4" w:space="0" w:color="auto"/>
              <w:left w:val="nil"/>
              <w:bottom w:val="nil"/>
              <w:right w:val="nil"/>
            </w:tcBorders>
            <w:shd w:val="clear" w:color="auto" w:fill="auto"/>
            <w:noWrap/>
            <w:vAlign w:val="bottom"/>
          </w:tcPr>
          <w:p w14:paraId="6F2B0A6C" w14:textId="77777777" w:rsidR="006C2C5B" w:rsidRPr="006C2C5B" w:rsidRDefault="006C2C5B" w:rsidP="006C2C5B">
            <w:pPr>
              <w:jc w:val="right"/>
              <w:rPr>
                <w:sz w:val="18"/>
                <w:szCs w:val="18"/>
                <w:lang w:eastAsia="bg-BG"/>
              </w:rPr>
            </w:pPr>
            <w:r w:rsidRPr="006C2C5B">
              <w:rPr>
                <w:sz w:val="18"/>
                <w:szCs w:val="18"/>
                <w:lang w:eastAsia="bg-BG"/>
              </w:rPr>
              <w:t>34 351,0</w:t>
            </w:r>
          </w:p>
        </w:tc>
        <w:tc>
          <w:tcPr>
            <w:tcW w:w="1304" w:type="dxa"/>
            <w:tcBorders>
              <w:top w:val="single" w:sz="4" w:space="0" w:color="auto"/>
              <w:left w:val="nil"/>
              <w:bottom w:val="nil"/>
              <w:right w:val="single" w:sz="4" w:space="0" w:color="auto"/>
            </w:tcBorders>
            <w:shd w:val="clear" w:color="auto" w:fill="auto"/>
            <w:noWrap/>
            <w:vAlign w:val="bottom"/>
          </w:tcPr>
          <w:p w14:paraId="613BC273" w14:textId="77777777" w:rsidR="006C2C5B" w:rsidRPr="006C2C5B" w:rsidRDefault="006C2C5B" w:rsidP="006C2C5B">
            <w:pPr>
              <w:jc w:val="right"/>
              <w:rPr>
                <w:sz w:val="18"/>
                <w:szCs w:val="18"/>
                <w:lang w:eastAsia="bg-BG"/>
              </w:rPr>
            </w:pPr>
            <w:r w:rsidRPr="006C2C5B">
              <w:rPr>
                <w:sz w:val="18"/>
                <w:szCs w:val="18"/>
                <w:lang w:eastAsia="bg-BG"/>
              </w:rPr>
              <w:t>96,6%</w:t>
            </w:r>
          </w:p>
        </w:tc>
      </w:tr>
      <w:tr w:rsidR="006C2C5B" w:rsidRPr="006C2C5B" w14:paraId="7435A032" w14:textId="77777777" w:rsidTr="00B94232">
        <w:trPr>
          <w:trHeight w:val="80"/>
          <w:jc w:val="center"/>
        </w:trPr>
        <w:tc>
          <w:tcPr>
            <w:tcW w:w="4854" w:type="dxa"/>
            <w:tcBorders>
              <w:left w:val="single" w:sz="8" w:space="0" w:color="auto"/>
              <w:right w:val="single" w:sz="8" w:space="0" w:color="auto"/>
            </w:tcBorders>
            <w:shd w:val="clear" w:color="auto" w:fill="auto"/>
            <w:noWrap/>
            <w:vAlign w:val="bottom"/>
          </w:tcPr>
          <w:p w14:paraId="22FBD38D" w14:textId="77777777" w:rsidR="006C2C5B" w:rsidRPr="006C2C5B" w:rsidRDefault="006C2C5B" w:rsidP="006C2C5B">
            <w:pPr>
              <w:rPr>
                <w:sz w:val="18"/>
                <w:szCs w:val="18"/>
                <w:lang w:eastAsia="bg-BG"/>
              </w:rPr>
            </w:pPr>
            <w:r w:rsidRPr="006C2C5B">
              <w:rPr>
                <w:sz w:val="18"/>
                <w:szCs w:val="18"/>
                <w:lang w:eastAsia="bg-BG"/>
              </w:rPr>
              <w:t xml:space="preserve">      Корпоративни данъци</w:t>
            </w:r>
          </w:p>
        </w:tc>
        <w:tc>
          <w:tcPr>
            <w:tcW w:w="1276" w:type="dxa"/>
            <w:tcBorders>
              <w:left w:val="nil"/>
              <w:bottom w:val="nil"/>
              <w:right w:val="nil"/>
            </w:tcBorders>
            <w:shd w:val="clear" w:color="auto" w:fill="auto"/>
            <w:noWrap/>
            <w:vAlign w:val="bottom"/>
          </w:tcPr>
          <w:p w14:paraId="31EF9420" w14:textId="77777777" w:rsidR="006C2C5B" w:rsidRPr="006C2C5B" w:rsidRDefault="006C2C5B" w:rsidP="006C2C5B">
            <w:pPr>
              <w:jc w:val="right"/>
              <w:rPr>
                <w:sz w:val="18"/>
                <w:szCs w:val="18"/>
                <w:lang w:eastAsia="bg-BG"/>
              </w:rPr>
            </w:pPr>
            <w:r w:rsidRPr="006C2C5B">
              <w:rPr>
                <w:sz w:val="18"/>
                <w:szCs w:val="18"/>
                <w:lang w:eastAsia="bg-BG"/>
              </w:rPr>
              <w:t>5 510,0</w:t>
            </w:r>
          </w:p>
        </w:tc>
        <w:tc>
          <w:tcPr>
            <w:tcW w:w="1616" w:type="dxa"/>
            <w:tcBorders>
              <w:top w:val="nil"/>
              <w:left w:val="nil"/>
              <w:bottom w:val="nil"/>
              <w:right w:val="nil"/>
            </w:tcBorders>
            <w:shd w:val="clear" w:color="auto" w:fill="auto"/>
            <w:noWrap/>
            <w:vAlign w:val="bottom"/>
          </w:tcPr>
          <w:p w14:paraId="4F12698A" w14:textId="77777777" w:rsidR="006C2C5B" w:rsidRPr="006C2C5B" w:rsidRDefault="006C2C5B" w:rsidP="006C2C5B">
            <w:pPr>
              <w:jc w:val="right"/>
              <w:rPr>
                <w:sz w:val="18"/>
                <w:szCs w:val="18"/>
                <w:lang w:eastAsia="bg-BG"/>
              </w:rPr>
            </w:pPr>
            <w:r w:rsidRPr="006C2C5B">
              <w:rPr>
                <w:sz w:val="18"/>
                <w:szCs w:val="18"/>
                <w:lang w:eastAsia="bg-BG"/>
              </w:rPr>
              <w:t>5 001,0</w:t>
            </w:r>
          </w:p>
        </w:tc>
        <w:tc>
          <w:tcPr>
            <w:tcW w:w="1304" w:type="dxa"/>
            <w:tcBorders>
              <w:top w:val="nil"/>
              <w:left w:val="nil"/>
              <w:bottom w:val="nil"/>
              <w:right w:val="single" w:sz="4" w:space="0" w:color="auto"/>
            </w:tcBorders>
            <w:shd w:val="clear" w:color="auto" w:fill="auto"/>
            <w:noWrap/>
            <w:vAlign w:val="bottom"/>
          </w:tcPr>
          <w:p w14:paraId="1067ABC7" w14:textId="77777777" w:rsidR="006C2C5B" w:rsidRPr="006C2C5B" w:rsidRDefault="006C2C5B" w:rsidP="006C2C5B">
            <w:pPr>
              <w:jc w:val="right"/>
              <w:rPr>
                <w:sz w:val="18"/>
                <w:szCs w:val="18"/>
                <w:lang w:eastAsia="bg-BG"/>
              </w:rPr>
            </w:pPr>
            <w:r w:rsidRPr="006C2C5B">
              <w:rPr>
                <w:sz w:val="18"/>
                <w:szCs w:val="18"/>
                <w:lang w:eastAsia="bg-BG"/>
              </w:rPr>
              <w:t>90,8%</w:t>
            </w:r>
          </w:p>
        </w:tc>
      </w:tr>
      <w:tr w:rsidR="006C2C5B" w:rsidRPr="006C2C5B" w14:paraId="1DDA8A4C" w14:textId="77777777" w:rsidTr="00B94232">
        <w:trPr>
          <w:trHeight w:val="165"/>
          <w:jc w:val="center"/>
        </w:trPr>
        <w:tc>
          <w:tcPr>
            <w:tcW w:w="4854" w:type="dxa"/>
            <w:tcBorders>
              <w:left w:val="single" w:sz="8" w:space="0" w:color="auto"/>
              <w:right w:val="single" w:sz="8" w:space="0" w:color="auto"/>
            </w:tcBorders>
            <w:shd w:val="clear" w:color="auto" w:fill="auto"/>
            <w:noWrap/>
            <w:vAlign w:val="bottom"/>
          </w:tcPr>
          <w:p w14:paraId="484F9320" w14:textId="77777777" w:rsidR="006C2C5B" w:rsidRPr="006C2C5B" w:rsidRDefault="006C2C5B" w:rsidP="006C2C5B">
            <w:pPr>
              <w:rPr>
                <w:sz w:val="18"/>
                <w:szCs w:val="18"/>
                <w:lang w:eastAsia="bg-BG"/>
              </w:rPr>
            </w:pPr>
            <w:r w:rsidRPr="006C2C5B">
              <w:rPr>
                <w:sz w:val="18"/>
                <w:szCs w:val="18"/>
                <w:lang w:eastAsia="bg-BG"/>
              </w:rPr>
              <w:t xml:space="preserve">     </w:t>
            </w:r>
            <w:r w:rsidRPr="006C2C5B">
              <w:rPr>
                <w:sz w:val="18"/>
                <w:szCs w:val="18"/>
                <w:lang w:val="en-US" w:eastAsia="bg-BG"/>
              </w:rPr>
              <w:t xml:space="preserve"> </w:t>
            </w:r>
            <w:r w:rsidRPr="006C2C5B">
              <w:rPr>
                <w:sz w:val="18"/>
                <w:szCs w:val="18"/>
                <w:lang w:eastAsia="bg-BG"/>
              </w:rPr>
              <w:t>ДДФЛ</w:t>
            </w:r>
          </w:p>
        </w:tc>
        <w:tc>
          <w:tcPr>
            <w:tcW w:w="1276" w:type="dxa"/>
            <w:tcBorders>
              <w:left w:val="nil"/>
              <w:bottom w:val="nil"/>
              <w:right w:val="nil"/>
            </w:tcBorders>
            <w:shd w:val="clear" w:color="auto" w:fill="auto"/>
            <w:noWrap/>
            <w:vAlign w:val="bottom"/>
          </w:tcPr>
          <w:p w14:paraId="2FCC214C" w14:textId="77777777" w:rsidR="006C2C5B" w:rsidRPr="006C2C5B" w:rsidRDefault="006C2C5B" w:rsidP="006C2C5B">
            <w:pPr>
              <w:jc w:val="right"/>
              <w:rPr>
                <w:sz w:val="18"/>
                <w:szCs w:val="18"/>
                <w:lang w:eastAsia="bg-BG"/>
              </w:rPr>
            </w:pPr>
            <w:r w:rsidRPr="006C2C5B">
              <w:rPr>
                <w:sz w:val="18"/>
                <w:szCs w:val="18"/>
                <w:lang w:eastAsia="bg-BG"/>
              </w:rPr>
              <w:t>6 100,0</w:t>
            </w:r>
          </w:p>
        </w:tc>
        <w:tc>
          <w:tcPr>
            <w:tcW w:w="1616" w:type="dxa"/>
            <w:tcBorders>
              <w:top w:val="nil"/>
              <w:left w:val="nil"/>
              <w:bottom w:val="nil"/>
              <w:right w:val="nil"/>
            </w:tcBorders>
            <w:shd w:val="clear" w:color="auto" w:fill="auto"/>
            <w:noWrap/>
            <w:vAlign w:val="bottom"/>
          </w:tcPr>
          <w:p w14:paraId="45261EF3" w14:textId="77777777" w:rsidR="006C2C5B" w:rsidRPr="006C2C5B" w:rsidRDefault="006C2C5B" w:rsidP="006C2C5B">
            <w:pPr>
              <w:jc w:val="right"/>
              <w:rPr>
                <w:sz w:val="18"/>
                <w:szCs w:val="18"/>
                <w:lang w:eastAsia="bg-BG"/>
              </w:rPr>
            </w:pPr>
            <w:r w:rsidRPr="006C2C5B">
              <w:rPr>
                <w:sz w:val="18"/>
                <w:szCs w:val="18"/>
                <w:lang w:eastAsia="bg-BG"/>
              </w:rPr>
              <w:t>6 189,8</w:t>
            </w:r>
          </w:p>
        </w:tc>
        <w:tc>
          <w:tcPr>
            <w:tcW w:w="1304" w:type="dxa"/>
            <w:tcBorders>
              <w:top w:val="nil"/>
              <w:left w:val="nil"/>
              <w:bottom w:val="nil"/>
              <w:right w:val="single" w:sz="4" w:space="0" w:color="auto"/>
            </w:tcBorders>
            <w:shd w:val="clear" w:color="auto" w:fill="auto"/>
            <w:noWrap/>
            <w:vAlign w:val="bottom"/>
          </w:tcPr>
          <w:p w14:paraId="627E2EE9" w14:textId="77777777" w:rsidR="006C2C5B" w:rsidRPr="006C2C5B" w:rsidRDefault="006C2C5B" w:rsidP="006C2C5B">
            <w:pPr>
              <w:jc w:val="right"/>
              <w:rPr>
                <w:sz w:val="18"/>
                <w:szCs w:val="18"/>
                <w:lang w:eastAsia="bg-BG"/>
              </w:rPr>
            </w:pPr>
            <w:r w:rsidRPr="006C2C5B">
              <w:rPr>
                <w:sz w:val="18"/>
                <w:szCs w:val="18"/>
                <w:lang w:eastAsia="bg-BG"/>
              </w:rPr>
              <w:t>101,5%</w:t>
            </w:r>
          </w:p>
        </w:tc>
      </w:tr>
      <w:tr w:rsidR="006C2C5B" w:rsidRPr="006C2C5B" w14:paraId="5B238F0F" w14:textId="77777777" w:rsidTr="00B94232">
        <w:trPr>
          <w:trHeight w:val="165"/>
          <w:jc w:val="center"/>
        </w:trPr>
        <w:tc>
          <w:tcPr>
            <w:tcW w:w="4854" w:type="dxa"/>
            <w:tcBorders>
              <w:left w:val="single" w:sz="8" w:space="0" w:color="auto"/>
              <w:right w:val="single" w:sz="8" w:space="0" w:color="auto"/>
            </w:tcBorders>
            <w:shd w:val="clear" w:color="auto" w:fill="auto"/>
            <w:noWrap/>
            <w:vAlign w:val="bottom"/>
          </w:tcPr>
          <w:p w14:paraId="63F83D6E" w14:textId="77777777" w:rsidR="006C2C5B" w:rsidRPr="006C2C5B" w:rsidRDefault="006C2C5B" w:rsidP="006C2C5B">
            <w:pPr>
              <w:rPr>
                <w:sz w:val="18"/>
                <w:szCs w:val="18"/>
                <w:lang w:eastAsia="bg-BG"/>
              </w:rPr>
            </w:pPr>
            <w:r w:rsidRPr="006C2C5B">
              <w:rPr>
                <w:sz w:val="18"/>
                <w:szCs w:val="18"/>
                <w:lang w:eastAsia="bg-BG"/>
              </w:rPr>
              <w:t xml:space="preserve">     </w:t>
            </w:r>
            <w:r w:rsidRPr="006C2C5B">
              <w:rPr>
                <w:sz w:val="18"/>
                <w:szCs w:val="18"/>
                <w:lang w:val="en-US" w:eastAsia="bg-BG"/>
              </w:rPr>
              <w:t xml:space="preserve"> </w:t>
            </w:r>
            <w:r w:rsidRPr="006C2C5B">
              <w:rPr>
                <w:sz w:val="18"/>
                <w:szCs w:val="18"/>
                <w:lang w:eastAsia="bg-BG"/>
              </w:rPr>
              <w:t>ДДС</w:t>
            </w:r>
          </w:p>
        </w:tc>
        <w:tc>
          <w:tcPr>
            <w:tcW w:w="1276" w:type="dxa"/>
            <w:tcBorders>
              <w:left w:val="nil"/>
              <w:bottom w:val="nil"/>
              <w:right w:val="nil"/>
            </w:tcBorders>
            <w:shd w:val="clear" w:color="auto" w:fill="auto"/>
            <w:noWrap/>
            <w:vAlign w:val="bottom"/>
          </w:tcPr>
          <w:p w14:paraId="45598B2A" w14:textId="77777777" w:rsidR="006C2C5B" w:rsidRPr="006C2C5B" w:rsidRDefault="006C2C5B" w:rsidP="006C2C5B">
            <w:pPr>
              <w:jc w:val="right"/>
              <w:rPr>
                <w:sz w:val="18"/>
                <w:szCs w:val="18"/>
                <w:lang w:eastAsia="bg-BG"/>
              </w:rPr>
            </w:pPr>
            <w:r w:rsidRPr="006C2C5B">
              <w:rPr>
                <w:sz w:val="18"/>
                <w:szCs w:val="18"/>
                <w:lang w:eastAsia="bg-BG"/>
              </w:rPr>
              <w:t>17 005,0</w:t>
            </w:r>
          </w:p>
        </w:tc>
        <w:tc>
          <w:tcPr>
            <w:tcW w:w="1616" w:type="dxa"/>
            <w:tcBorders>
              <w:top w:val="nil"/>
              <w:left w:val="nil"/>
              <w:bottom w:val="nil"/>
              <w:right w:val="nil"/>
            </w:tcBorders>
            <w:shd w:val="clear" w:color="auto" w:fill="auto"/>
            <w:noWrap/>
            <w:vAlign w:val="bottom"/>
          </w:tcPr>
          <w:p w14:paraId="173C9ACF" w14:textId="77777777" w:rsidR="006C2C5B" w:rsidRPr="006C2C5B" w:rsidRDefault="006C2C5B" w:rsidP="006C2C5B">
            <w:pPr>
              <w:jc w:val="right"/>
              <w:rPr>
                <w:sz w:val="18"/>
                <w:szCs w:val="18"/>
                <w:lang w:eastAsia="bg-BG"/>
              </w:rPr>
            </w:pPr>
            <w:r w:rsidRPr="006C2C5B">
              <w:rPr>
                <w:sz w:val="18"/>
                <w:szCs w:val="18"/>
                <w:lang w:eastAsia="bg-BG"/>
              </w:rPr>
              <w:t>16 225,8</w:t>
            </w:r>
          </w:p>
        </w:tc>
        <w:tc>
          <w:tcPr>
            <w:tcW w:w="1304" w:type="dxa"/>
            <w:tcBorders>
              <w:top w:val="nil"/>
              <w:left w:val="nil"/>
              <w:bottom w:val="nil"/>
              <w:right w:val="single" w:sz="4" w:space="0" w:color="auto"/>
            </w:tcBorders>
            <w:shd w:val="clear" w:color="auto" w:fill="auto"/>
            <w:noWrap/>
            <w:vAlign w:val="bottom"/>
          </w:tcPr>
          <w:p w14:paraId="0B0BB4CB" w14:textId="77777777" w:rsidR="006C2C5B" w:rsidRPr="006C2C5B" w:rsidRDefault="006C2C5B" w:rsidP="006C2C5B">
            <w:pPr>
              <w:jc w:val="right"/>
              <w:rPr>
                <w:sz w:val="18"/>
                <w:szCs w:val="18"/>
                <w:lang w:eastAsia="bg-BG"/>
              </w:rPr>
            </w:pPr>
            <w:r w:rsidRPr="006C2C5B">
              <w:rPr>
                <w:sz w:val="18"/>
                <w:szCs w:val="18"/>
                <w:lang w:eastAsia="bg-BG"/>
              </w:rPr>
              <w:t>95,4%</w:t>
            </w:r>
          </w:p>
        </w:tc>
      </w:tr>
      <w:tr w:rsidR="006C2C5B" w:rsidRPr="006C2C5B" w14:paraId="18BC01E3" w14:textId="77777777" w:rsidTr="00B94232">
        <w:trPr>
          <w:trHeight w:val="165"/>
          <w:jc w:val="center"/>
        </w:trPr>
        <w:tc>
          <w:tcPr>
            <w:tcW w:w="4854" w:type="dxa"/>
            <w:tcBorders>
              <w:left w:val="single" w:sz="8" w:space="0" w:color="auto"/>
              <w:right w:val="single" w:sz="8" w:space="0" w:color="auto"/>
            </w:tcBorders>
            <w:shd w:val="clear" w:color="auto" w:fill="auto"/>
            <w:noWrap/>
            <w:vAlign w:val="bottom"/>
          </w:tcPr>
          <w:p w14:paraId="7E341EF1" w14:textId="77777777" w:rsidR="006C2C5B" w:rsidRPr="006C2C5B" w:rsidRDefault="006C2C5B" w:rsidP="006C2C5B">
            <w:pPr>
              <w:rPr>
                <w:sz w:val="18"/>
                <w:szCs w:val="18"/>
                <w:lang w:eastAsia="bg-BG"/>
              </w:rPr>
            </w:pPr>
            <w:r w:rsidRPr="006C2C5B">
              <w:rPr>
                <w:sz w:val="18"/>
                <w:szCs w:val="18"/>
                <w:lang w:eastAsia="bg-BG"/>
              </w:rPr>
              <w:t xml:space="preserve">     </w:t>
            </w:r>
            <w:r w:rsidRPr="006C2C5B">
              <w:rPr>
                <w:sz w:val="18"/>
                <w:szCs w:val="18"/>
                <w:lang w:val="en-US" w:eastAsia="bg-BG"/>
              </w:rPr>
              <w:t xml:space="preserve"> </w:t>
            </w:r>
            <w:r w:rsidRPr="006C2C5B">
              <w:rPr>
                <w:sz w:val="18"/>
                <w:szCs w:val="18"/>
                <w:lang w:eastAsia="bg-BG"/>
              </w:rPr>
              <w:t xml:space="preserve">Акцизи </w:t>
            </w:r>
          </w:p>
        </w:tc>
        <w:tc>
          <w:tcPr>
            <w:tcW w:w="1276" w:type="dxa"/>
            <w:tcBorders>
              <w:left w:val="nil"/>
              <w:bottom w:val="nil"/>
              <w:right w:val="nil"/>
            </w:tcBorders>
            <w:shd w:val="clear" w:color="auto" w:fill="auto"/>
            <w:noWrap/>
            <w:vAlign w:val="bottom"/>
          </w:tcPr>
          <w:p w14:paraId="3094045B" w14:textId="77777777" w:rsidR="006C2C5B" w:rsidRPr="006C2C5B" w:rsidRDefault="006C2C5B" w:rsidP="006C2C5B">
            <w:pPr>
              <w:jc w:val="right"/>
              <w:rPr>
                <w:sz w:val="18"/>
                <w:szCs w:val="18"/>
                <w:lang w:eastAsia="bg-BG"/>
              </w:rPr>
            </w:pPr>
            <w:r w:rsidRPr="006C2C5B">
              <w:rPr>
                <w:sz w:val="18"/>
                <w:szCs w:val="18"/>
                <w:lang w:eastAsia="bg-BG"/>
              </w:rPr>
              <w:t>5 939,0</w:t>
            </w:r>
          </w:p>
        </w:tc>
        <w:tc>
          <w:tcPr>
            <w:tcW w:w="1616" w:type="dxa"/>
            <w:tcBorders>
              <w:top w:val="nil"/>
              <w:left w:val="nil"/>
              <w:bottom w:val="nil"/>
              <w:right w:val="nil"/>
            </w:tcBorders>
            <w:shd w:val="clear" w:color="auto" w:fill="auto"/>
            <w:noWrap/>
            <w:vAlign w:val="bottom"/>
          </w:tcPr>
          <w:p w14:paraId="3977D3D3" w14:textId="77777777" w:rsidR="006C2C5B" w:rsidRPr="006C2C5B" w:rsidRDefault="006C2C5B" w:rsidP="006C2C5B">
            <w:pPr>
              <w:jc w:val="right"/>
              <w:rPr>
                <w:sz w:val="18"/>
                <w:szCs w:val="18"/>
                <w:lang w:eastAsia="bg-BG"/>
              </w:rPr>
            </w:pPr>
            <w:r w:rsidRPr="006C2C5B">
              <w:rPr>
                <w:sz w:val="18"/>
                <w:szCs w:val="18"/>
                <w:lang w:eastAsia="bg-BG"/>
              </w:rPr>
              <w:t>6 148,0</w:t>
            </w:r>
          </w:p>
        </w:tc>
        <w:tc>
          <w:tcPr>
            <w:tcW w:w="1304" w:type="dxa"/>
            <w:tcBorders>
              <w:top w:val="nil"/>
              <w:left w:val="nil"/>
              <w:bottom w:val="nil"/>
              <w:right w:val="single" w:sz="4" w:space="0" w:color="auto"/>
            </w:tcBorders>
            <w:shd w:val="clear" w:color="auto" w:fill="auto"/>
            <w:noWrap/>
            <w:vAlign w:val="bottom"/>
          </w:tcPr>
          <w:p w14:paraId="45062B68" w14:textId="77777777" w:rsidR="006C2C5B" w:rsidRPr="006C2C5B" w:rsidRDefault="006C2C5B" w:rsidP="006C2C5B">
            <w:pPr>
              <w:jc w:val="right"/>
              <w:rPr>
                <w:sz w:val="18"/>
                <w:szCs w:val="18"/>
                <w:lang w:eastAsia="bg-BG"/>
              </w:rPr>
            </w:pPr>
            <w:r w:rsidRPr="006C2C5B">
              <w:rPr>
                <w:sz w:val="18"/>
                <w:szCs w:val="18"/>
                <w:lang w:eastAsia="bg-BG"/>
              </w:rPr>
              <w:t>103,5%</w:t>
            </w:r>
          </w:p>
        </w:tc>
      </w:tr>
      <w:tr w:rsidR="006C2C5B" w:rsidRPr="006C2C5B" w14:paraId="07A23E01" w14:textId="77777777" w:rsidTr="00B94232">
        <w:trPr>
          <w:trHeight w:val="165"/>
          <w:jc w:val="center"/>
        </w:trPr>
        <w:tc>
          <w:tcPr>
            <w:tcW w:w="4854" w:type="dxa"/>
            <w:tcBorders>
              <w:left w:val="single" w:sz="8" w:space="0" w:color="auto"/>
              <w:right w:val="single" w:sz="8" w:space="0" w:color="auto"/>
            </w:tcBorders>
            <w:shd w:val="clear" w:color="auto" w:fill="auto"/>
            <w:noWrap/>
            <w:vAlign w:val="bottom"/>
          </w:tcPr>
          <w:p w14:paraId="7FA1116A" w14:textId="77777777" w:rsidR="006C2C5B" w:rsidRPr="006C2C5B" w:rsidRDefault="006C2C5B" w:rsidP="006C2C5B">
            <w:pPr>
              <w:rPr>
                <w:sz w:val="18"/>
                <w:szCs w:val="18"/>
                <w:lang w:eastAsia="bg-BG"/>
              </w:rPr>
            </w:pPr>
            <w:r w:rsidRPr="006C2C5B">
              <w:rPr>
                <w:sz w:val="18"/>
                <w:szCs w:val="18"/>
                <w:lang w:eastAsia="bg-BG"/>
              </w:rPr>
              <w:t xml:space="preserve">      Данък в/у застрахователните премии</w:t>
            </w:r>
          </w:p>
        </w:tc>
        <w:tc>
          <w:tcPr>
            <w:tcW w:w="1276" w:type="dxa"/>
            <w:tcBorders>
              <w:left w:val="nil"/>
              <w:bottom w:val="nil"/>
              <w:right w:val="nil"/>
            </w:tcBorders>
            <w:shd w:val="clear" w:color="auto" w:fill="auto"/>
            <w:noWrap/>
            <w:vAlign w:val="bottom"/>
          </w:tcPr>
          <w:p w14:paraId="6126194D" w14:textId="77777777" w:rsidR="006C2C5B" w:rsidRPr="006C2C5B" w:rsidRDefault="006C2C5B" w:rsidP="006C2C5B">
            <w:pPr>
              <w:jc w:val="right"/>
              <w:rPr>
                <w:sz w:val="18"/>
                <w:szCs w:val="18"/>
                <w:lang w:eastAsia="bg-BG"/>
              </w:rPr>
            </w:pPr>
            <w:r w:rsidRPr="006C2C5B">
              <w:rPr>
                <w:sz w:val="18"/>
                <w:szCs w:val="18"/>
                <w:lang w:eastAsia="bg-BG"/>
              </w:rPr>
              <w:t>57,5</w:t>
            </w:r>
          </w:p>
        </w:tc>
        <w:tc>
          <w:tcPr>
            <w:tcW w:w="1616" w:type="dxa"/>
            <w:tcBorders>
              <w:top w:val="nil"/>
              <w:left w:val="nil"/>
              <w:bottom w:val="nil"/>
              <w:right w:val="nil"/>
            </w:tcBorders>
            <w:shd w:val="clear" w:color="auto" w:fill="auto"/>
            <w:noWrap/>
            <w:vAlign w:val="bottom"/>
          </w:tcPr>
          <w:p w14:paraId="0DA57A50" w14:textId="77777777" w:rsidR="006C2C5B" w:rsidRPr="006C2C5B" w:rsidRDefault="006C2C5B" w:rsidP="006C2C5B">
            <w:pPr>
              <w:jc w:val="right"/>
              <w:rPr>
                <w:sz w:val="18"/>
                <w:szCs w:val="18"/>
                <w:lang w:eastAsia="bg-BG"/>
              </w:rPr>
            </w:pPr>
            <w:r w:rsidRPr="006C2C5B">
              <w:rPr>
                <w:sz w:val="18"/>
                <w:szCs w:val="18"/>
                <w:lang w:eastAsia="bg-BG"/>
              </w:rPr>
              <w:t>59,4</w:t>
            </w:r>
          </w:p>
        </w:tc>
        <w:tc>
          <w:tcPr>
            <w:tcW w:w="1304" w:type="dxa"/>
            <w:tcBorders>
              <w:top w:val="nil"/>
              <w:left w:val="nil"/>
              <w:bottom w:val="nil"/>
              <w:right w:val="single" w:sz="4" w:space="0" w:color="auto"/>
            </w:tcBorders>
            <w:shd w:val="clear" w:color="auto" w:fill="auto"/>
            <w:noWrap/>
            <w:vAlign w:val="bottom"/>
          </w:tcPr>
          <w:p w14:paraId="205212A6" w14:textId="77777777" w:rsidR="006C2C5B" w:rsidRPr="006C2C5B" w:rsidRDefault="006C2C5B" w:rsidP="006C2C5B">
            <w:pPr>
              <w:jc w:val="right"/>
              <w:rPr>
                <w:sz w:val="18"/>
                <w:szCs w:val="18"/>
                <w:lang w:eastAsia="bg-BG"/>
              </w:rPr>
            </w:pPr>
            <w:r w:rsidRPr="006C2C5B">
              <w:rPr>
                <w:sz w:val="18"/>
                <w:szCs w:val="18"/>
                <w:lang w:eastAsia="bg-BG"/>
              </w:rPr>
              <w:t>103,3%</w:t>
            </w:r>
          </w:p>
        </w:tc>
      </w:tr>
      <w:tr w:rsidR="006C2C5B" w:rsidRPr="006C2C5B" w14:paraId="0C4B32D3" w14:textId="77777777" w:rsidTr="00B94232">
        <w:trPr>
          <w:trHeight w:val="165"/>
          <w:jc w:val="center"/>
        </w:trPr>
        <w:tc>
          <w:tcPr>
            <w:tcW w:w="4854" w:type="dxa"/>
            <w:tcBorders>
              <w:left w:val="single" w:sz="8" w:space="0" w:color="auto"/>
              <w:right w:val="single" w:sz="8" w:space="0" w:color="auto"/>
            </w:tcBorders>
            <w:shd w:val="clear" w:color="auto" w:fill="auto"/>
            <w:noWrap/>
            <w:vAlign w:val="bottom"/>
          </w:tcPr>
          <w:p w14:paraId="76315BB7" w14:textId="77777777" w:rsidR="006C2C5B" w:rsidRPr="006C2C5B" w:rsidRDefault="006C2C5B" w:rsidP="006C2C5B">
            <w:pPr>
              <w:rPr>
                <w:sz w:val="18"/>
                <w:szCs w:val="18"/>
                <w:lang w:eastAsia="bg-BG"/>
              </w:rPr>
            </w:pPr>
            <w:r w:rsidRPr="006C2C5B">
              <w:rPr>
                <w:sz w:val="18"/>
                <w:szCs w:val="18"/>
                <w:lang w:eastAsia="bg-BG"/>
              </w:rPr>
              <w:t xml:space="preserve">     </w:t>
            </w:r>
            <w:r w:rsidRPr="006C2C5B">
              <w:rPr>
                <w:sz w:val="18"/>
                <w:szCs w:val="18"/>
                <w:lang w:val="en-US" w:eastAsia="bg-BG"/>
              </w:rPr>
              <w:t xml:space="preserve"> </w:t>
            </w:r>
            <w:r w:rsidRPr="006C2C5B">
              <w:rPr>
                <w:sz w:val="18"/>
                <w:szCs w:val="18"/>
                <w:lang w:eastAsia="bg-BG"/>
              </w:rPr>
              <w:t>Мита и митнически такси</w:t>
            </w:r>
          </w:p>
        </w:tc>
        <w:tc>
          <w:tcPr>
            <w:tcW w:w="1276" w:type="dxa"/>
            <w:tcBorders>
              <w:left w:val="nil"/>
              <w:bottom w:val="nil"/>
              <w:right w:val="nil"/>
            </w:tcBorders>
            <w:shd w:val="clear" w:color="auto" w:fill="auto"/>
            <w:noWrap/>
            <w:vAlign w:val="bottom"/>
          </w:tcPr>
          <w:p w14:paraId="5E9873E4" w14:textId="77777777" w:rsidR="006C2C5B" w:rsidRPr="006C2C5B" w:rsidRDefault="006C2C5B" w:rsidP="006C2C5B">
            <w:pPr>
              <w:jc w:val="right"/>
              <w:rPr>
                <w:sz w:val="18"/>
                <w:szCs w:val="18"/>
                <w:lang w:eastAsia="bg-BG"/>
              </w:rPr>
            </w:pPr>
            <w:r w:rsidRPr="006C2C5B">
              <w:rPr>
                <w:sz w:val="18"/>
                <w:szCs w:val="18"/>
                <w:lang w:eastAsia="bg-BG"/>
              </w:rPr>
              <w:t>405,0</w:t>
            </w:r>
          </w:p>
        </w:tc>
        <w:tc>
          <w:tcPr>
            <w:tcW w:w="1616" w:type="dxa"/>
            <w:tcBorders>
              <w:top w:val="nil"/>
              <w:left w:val="nil"/>
              <w:bottom w:val="nil"/>
              <w:right w:val="nil"/>
            </w:tcBorders>
            <w:shd w:val="clear" w:color="auto" w:fill="auto"/>
            <w:noWrap/>
            <w:vAlign w:val="bottom"/>
          </w:tcPr>
          <w:p w14:paraId="19A2C7C6" w14:textId="77777777" w:rsidR="006C2C5B" w:rsidRPr="006C2C5B" w:rsidRDefault="006C2C5B" w:rsidP="006C2C5B">
            <w:pPr>
              <w:jc w:val="right"/>
              <w:rPr>
                <w:sz w:val="18"/>
                <w:szCs w:val="18"/>
                <w:lang w:eastAsia="bg-BG"/>
              </w:rPr>
            </w:pPr>
            <w:r w:rsidRPr="006C2C5B">
              <w:rPr>
                <w:sz w:val="18"/>
                <w:szCs w:val="18"/>
                <w:lang w:eastAsia="bg-BG"/>
              </w:rPr>
              <w:t>322,7</w:t>
            </w:r>
          </w:p>
        </w:tc>
        <w:tc>
          <w:tcPr>
            <w:tcW w:w="1304" w:type="dxa"/>
            <w:tcBorders>
              <w:top w:val="nil"/>
              <w:left w:val="nil"/>
              <w:bottom w:val="nil"/>
              <w:right w:val="single" w:sz="4" w:space="0" w:color="auto"/>
            </w:tcBorders>
            <w:shd w:val="clear" w:color="auto" w:fill="auto"/>
            <w:noWrap/>
            <w:vAlign w:val="bottom"/>
          </w:tcPr>
          <w:p w14:paraId="14D6B785" w14:textId="77777777" w:rsidR="006C2C5B" w:rsidRPr="006C2C5B" w:rsidRDefault="006C2C5B" w:rsidP="006C2C5B">
            <w:pPr>
              <w:jc w:val="right"/>
              <w:rPr>
                <w:sz w:val="18"/>
                <w:szCs w:val="18"/>
                <w:lang w:eastAsia="bg-BG"/>
              </w:rPr>
            </w:pPr>
            <w:r w:rsidRPr="006C2C5B">
              <w:rPr>
                <w:sz w:val="18"/>
                <w:szCs w:val="18"/>
                <w:lang w:eastAsia="bg-BG"/>
              </w:rPr>
              <w:t>79,7%</w:t>
            </w:r>
          </w:p>
        </w:tc>
      </w:tr>
      <w:tr w:rsidR="006C2C5B" w:rsidRPr="006C2C5B" w14:paraId="2A75876F" w14:textId="77777777" w:rsidTr="00B94232">
        <w:trPr>
          <w:trHeight w:val="165"/>
          <w:jc w:val="center"/>
        </w:trPr>
        <w:tc>
          <w:tcPr>
            <w:tcW w:w="4854" w:type="dxa"/>
            <w:tcBorders>
              <w:left w:val="single" w:sz="8" w:space="0" w:color="auto"/>
              <w:right w:val="single" w:sz="8" w:space="0" w:color="auto"/>
            </w:tcBorders>
            <w:shd w:val="clear" w:color="auto" w:fill="auto"/>
            <w:noWrap/>
            <w:vAlign w:val="bottom"/>
          </w:tcPr>
          <w:p w14:paraId="3BE98366" w14:textId="77777777" w:rsidR="006C2C5B" w:rsidRPr="006C2C5B" w:rsidRDefault="006C2C5B" w:rsidP="006C2C5B">
            <w:pPr>
              <w:rPr>
                <w:sz w:val="18"/>
                <w:szCs w:val="18"/>
                <w:lang w:eastAsia="bg-BG"/>
              </w:rPr>
            </w:pPr>
            <w:r w:rsidRPr="006C2C5B">
              <w:rPr>
                <w:sz w:val="18"/>
                <w:szCs w:val="18"/>
                <w:lang w:eastAsia="bg-BG"/>
              </w:rPr>
              <w:t xml:space="preserve">     </w:t>
            </w:r>
            <w:r w:rsidRPr="006C2C5B">
              <w:rPr>
                <w:sz w:val="18"/>
                <w:szCs w:val="18"/>
                <w:lang w:val="en-US" w:eastAsia="bg-BG"/>
              </w:rPr>
              <w:t xml:space="preserve"> </w:t>
            </w:r>
            <w:r w:rsidRPr="006C2C5B">
              <w:rPr>
                <w:sz w:val="18"/>
                <w:szCs w:val="18"/>
                <w:lang w:eastAsia="bg-BG"/>
              </w:rPr>
              <w:t>Други данъци</w:t>
            </w:r>
          </w:p>
        </w:tc>
        <w:tc>
          <w:tcPr>
            <w:tcW w:w="1276" w:type="dxa"/>
            <w:tcBorders>
              <w:top w:val="nil"/>
              <w:left w:val="nil"/>
              <w:bottom w:val="nil"/>
              <w:right w:val="nil"/>
            </w:tcBorders>
            <w:shd w:val="clear" w:color="auto" w:fill="auto"/>
            <w:noWrap/>
            <w:vAlign w:val="bottom"/>
          </w:tcPr>
          <w:p w14:paraId="0862A31F" w14:textId="77777777" w:rsidR="006C2C5B" w:rsidRPr="006C2C5B" w:rsidRDefault="006C2C5B" w:rsidP="006C2C5B">
            <w:pPr>
              <w:jc w:val="right"/>
              <w:rPr>
                <w:sz w:val="18"/>
                <w:szCs w:val="18"/>
                <w:lang w:eastAsia="bg-BG"/>
              </w:rPr>
            </w:pPr>
            <w:r w:rsidRPr="006C2C5B">
              <w:rPr>
                <w:sz w:val="18"/>
                <w:szCs w:val="18"/>
                <w:lang w:eastAsia="bg-BG"/>
              </w:rPr>
              <w:t>542,9</w:t>
            </w:r>
          </w:p>
        </w:tc>
        <w:tc>
          <w:tcPr>
            <w:tcW w:w="1616" w:type="dxa"/>
            <w:tcBorders>
              <w:top w:val="nil"/>
              <w:left w:val="nil"/>
              <w:bottom w:val="nil"/>
              <w:right w:val="nil"/>
            </w:tcBorders>
            <w:shd w:val="clear" w:color="auto" w:fill="auto"/>
            <w:noWrap/>
            <w:vAlign w:val="bottom"/>
          </w:tcPr>
          <w:p w14:paraId="4B187F2E" w14:textId="77777777" w:rsidR="006C2C5B" w:rsidRPr="006C2C5B" w:rsidRDefault="006C2C5B" w:rsidP="006C2C5B">
            <w:pPr>
              <w:jc w:val="right"/>
              <w:rPr>
                <w:sz w:val="18"/>
                <w:szCs w:val="18"/>
                <w:lang w:eastAsia="bg-BG"/>
              </w:rPr>
            </w:pPr>
            <w:r w:rsidRPr="006C2C5B">
              <w:rPr>
                <w:sz w:val="18"/>
                <w:szCs w:val="18"/>
                <w:lang w:eastAsia="bg-BG"/>
              </w:rPr>
              <w:t>404,4</w:t>
            </w:r>
          </w:p>
        </w:tc>
        <w:tc>
          <w:tcPr>
            <w:tcW w:w="1304" w:type="dxa"/>
            <w:tcBorders>
              <w:top w:val="nil"/>
              <w:left w:val="nil"/>
              <w:bottom w:val="nil"/>
              <w:right w:val="single" w:sz="4" w:space="0" w:color="auto"/>
            </w:tcBorders>
            <w:shd w:val="clear" w:color="auto" w:fill="auto"/>
            <w:noWrap/>
            <w:vAlign w:val="bottom"/>
          </w:tcPr>
          <w:p w14:paraId="05D3D3EB" w14:textId="77777777" w:rsidR="006C2C5B" w:rsidRPr="006C2C5B" w:rsidRDefault="006C2C5B" w:rsidP="006C2C5B">
            <w:pPr>
              <w:jc w:val="right"/>
              <w:rPr>
                <w:sz w:val="18"/>
                <w:szCs w:val="18"/>
                <w:lang w:eastAsia="bg-BG"/>
              </w:rPr>
            </w:pPr>
            <w:r w:rsidRPr="006C2C5B">
              <w:rPr>
                <w:sz w:val="18"/>
                <w:szCs w:val="18"/>
                <w:lang w:eastAsia="bg-BG"/>
              </w:rPr>
              <w:t>74,5%</w:t>
            </w:r>
          </w:p>
        </w:tc>
      </w:tr>
      <w:tr w:rsidR="006C2C5B" w:rsidRPr="006C2C5B" w14:paraId="4AD3D6AF" w14:textId="77777777" w:rsidTr="00B94232">
        <w:trPr>
          <w:trHeight w:val="165"/>
          <w:jc w:val="center"/>
        </w:trPr>
        <w:tc>
          <w:tcPr>
            <w:tcW w:w="4854" w:type="dxa"/>
            <w:tcBorders>
              <w:left w:val="single" w:sz="8" w:space="0" w:color="auto"/>
              <w:right w:val="single" w:sz="8" w:space="0" w:color="auto"/>
            </w:tcBorders>
            <w:shd w:val="clear" w:color="auto" w:fill="auto"/>
            <w:noWrap/>
            <w:vAlign w:val="bottom"/>
          </w:tcPr>
          <w:p w14:paraId="79D9757A" w14:textId="77777777" w:rsidR="006C2C5B" w:rsidRPr="006C2C5B" w:rsidRDefault="006C2C5B" w:rsidP="006C2C5B">
            <w:pPr>
              <w:rPr>
                <w:sz w:val="18"/>
                <w:szCs w:val="18"/>
                <w:lang w:eastAsia="bg-BG"/>
              </w:rPr>
            </w:pPr>
            <w:r w:rsidRPr="006C2C5B">
              <w:rPr>
                <w:sz w:val="18"/>
                <w:szCs w:val="18"/>
                <w:lang w:eastAsia="bg-BG"/>
              </w:rPr>
              <w:t xml:space="preserve">   -Неданъчни приходи</w:t>
            </w:r>
          </w:p>
        </w:tc>
        <w:tc>
          <w:tcPr>
            <w:tcW w:w="1276" w:type="dxa"/>
            <w:tcBorders>
              <w:top w:val="nil"/>
              <w:left w:val="nil"/>
              <w:bottom w:val="nil"/>
              <w:right w:val="nil"/>
            </w:tcBorders>
            <w:shd w:val="clear" w:color="auto" w:fill="auto"/>
            <w:noWrap/>
            <w:vAlign w:val="bottom"/>
          </w:tcPr>
          <w:p w14:paraId="267CC674" w14:textId="77777777" w:rsidR="006C2C5B" w:rsidRPr="006C2C5B" w:rsidRDefault="006C2C5B" w:rsidP="006C2C5B">
            <w:pPr>
              <w:jc w:val="right"/>
              <w:rPr>
                <w:sz w:val="18"/>
                <w:szCs w:val="18"/>
                <w:lang w:eastAsia="bg-BG"/>
              </w:rPr>
            </w:pPr>
            <w:r w:rsidRPr="006C2C5B">
              <w:rPr>
                <w:sz w:val="18"/>
                <w:szCs w:val="18"/>
                <w:lang w:eastAsia="bg-BG"/>
              </w:rPr>
              <w:t>5 250,7</w:t>
            </w:r>
          </w:p>
        </w:tc>
        <w:tc>
          <w:tcPr>
            <w:tcW w:w="1616" w:type="dxa"/>
            <w:tcBorders>
              <w:top w:val="nil"/>
              <w:left w:val="nil"/>
              <w:bottom w:val="nil"/>
              <w:right w:val="nil"/>
            </w:tcBorders>
            <w:shd w:val="clear" w:color="auto" w:fill="auto"/>
            <w:noWrap/>
            <w:vAlign w:val="bottom"/>
          </w:tcPr>
          <w:p w14:paraId="1BD610CE" w14:textId="77777777" w:rsidR="006C2C5B" w:rsidRPr="006C2C5B" w:rsidRDefault="006C2C5B" w:rsidP="006C2C5B">
            <w:pPr>
              <w:jc w:val="right"/>
              <w:rPr>
                <w:sz w:val="18"/>
                <w:szCs w:val="18"/>
                <w:lang w:eastAsia="bg-BG"/>
              </w:rPr>
            </w:pPr>
            <w:r w:rsidRPr="006C2C5B">
              <w:rPr>
                <w:sz w:val="18"/>
                <w:szCs w:val="18"/>
                <w:lang w:eastAsia="bg-BG"/>
              </w:rPr>
              <w:t>5 430,0</w:t>
            </w:r>
          </w:p>
        </w:tc>
        <w:tc>
          <w:tcPr>
            <w:tcW w:w="1304" w:type="dxa"/>
            <w:tcBorders>
              <w:top w:val="nil"/>
              <w:left w:val="nil"/>
              <w:bottom w:val="nil"/>
              <w:right w:val="single" w:sz="8" w:space="0" w:color="auto"/>
            </w:tcBorders>
            <w:shd w:val="clear" w:color="auto" w:fill="auto"/>
            <w:noWrap/>
            <w:vAlign w:val="bottom"/>
          </w:tcPr>
          <w:p w14:paraId="7E4F7F4E" w14:textId="77777777" w:rsidR="006C2C5B" w:rsidRPr="006C2C5B" w:rsidRDefault="006C2C5B" w:rsidP="006C2C5B">
            <w:pPr>
              <w:jc w:val="right"/>
              <w:rPr>
                <w:sz w:val="18"/>
                <w:szCs w:val="18"/>
                <w:lang w:eastAsia="bg-BG"/>
              </w:rPr>
            </w:pPr>
            <w:r w:rsidRPr="006C2C5B">
              <w:rPr>
                <w:sz w:val="18"/>
                <w:szCs w:val="18"/>
                <w:lang w:eastAsia="bg-BG"/>
              </w:rPr>
              <w:t>103,4%</w:t>
            </w:r>
          </w:p>
        </w:tc>
      </w:tr>
      <w:tr w:rsidR="006C2C5B" w:rsidRPr="006C2C5B" w14:paraId="6C03F533" w14:textId="77777777" w:rsidTr="00B94232">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14:paraId="3BDFE173" w14:textId="77777777" w:rsidR="006C2C5B" w:rsidRPr="006C2C5B" w:rsidRDefault="006C2C5B" w:rsidP="006C2C5B">
            <w:pPr>
              <w:rPr>
                <w:sz w:val="18"/>
                <w:szCs w:val="18"/>
                <w:lang w:eastAsia="bg-BG"/>
              </w:rPr>
            </w:pPr>
            <w:r w:rsidRPr="006C2C5B">
              <w:rPr>
                <w:sz w:val="18"/>
                <w:szCs w:val="18"/>
                <w:lang w:eastAsia="bg-BG"/>
              </w:rPr>
              <w:t xml:space="preserve">   -Помощи и дарения</w:t>
            </w:r>
          </w:p>
        </w:tc>
        <w:tc>
          <w:tcPr>
            <w:tcW w:w="1276" w:type="dxa"/>
            <w:tcBorders>
              <w:top w:val="nil"/>
              <w:left w:val="nil"/>
              <w:bottom w:val="single" w:sz="4" w:space="0" w:color="auto"/>
              <w:right w:val="nil"/>
            </w:tcBorders>
            <w:shd w:val="clear" w:color="auto" w:fill="auto"/>
            <w:noWrap/>
            <w:vAlign w:val="bottom"/>
          </w:tcPr>
          <w:p w14:paraId="16D8C582" w14:textId="77777777" w:rsidR="006C2C5B" w:rsidRPr="006C2C5B" w:rsidRDefault="006C2C5B" w:rsidP="006C2C5B">
            <w:pPr>
              <w:jc w:val="right"/>
              <w:rPr>
                <w:sz w:val="18"/>
                <w:szCs w:val="18"/>
                <w:lang w:eastAsia="bg-BG"/>
              </w:rPr>
            </w:pPr>
            <w:r w:rsidRPr="006C2C5B">
              <w:rPr>
                <w:sz w:val="18"/>
                <w:szCs w:val="18"/>
                <w:lang w:eastAsia="bg-BG"/>
              </w:rPr>
              <w:t>0,5</w:t>
            </w:r>
          </w:p>
        </w:tc>
        <w:tc>
          <w:tcPr>
            <w:tcW w:w="1616" w:type="dxa"/>
            <w:tcBorders>
              <w:top w:val="nil"/>
              <w:left w:val="nil"/>
              <w:bottom w:val="single" w:sz="4" w:space="0" w:color="auto"/>
              <w:right w:val="nil"/>
            </w:tcBorders>
            <w:shd w:val="clear" w:color="auto" w:fill="auto"/>
            <w:noWrap/>
            <w:vAlign w:val="bottom"/>
          </w:tcPr>
          <w:p w14:paraId="151DBFB5" w14:textId="77777777" w:rsidR="006C2C5B" w:rsidRPr="006C2C5B" w:rsidRDefault="006C2C5B" w:rsidP="006C2C5B">
            <w:pPr>
              <w:jc w:val="right"/>
              <w:rPr>
                <w:sz w:val="18"/>
                <w:szCs w:val="18"/>
                <w:lang w:eastAsia="bg-BG"/>
              </w:rPr>
            </w:pPr>
            <w:r w:rsidRPr="006C2C5B">
              <w:rPr>
                <w:sz w:val="18"/>
                <w:szCs w:val="18"/>
                <w:lang w:eastAsia="bg-BG"/>
              </w:rPr>
              <w:t>5,3</w:t>
            </w:r>
          </w:p>
        </w:tc>
        <w:tc>
          <w:tcPr>
            <w:tcW w:w="1304" w:type="dxa"/>
            <w:tcBorders>
              <w:top w:val="nil"/>
              <w:left w:val="nil"/>
              <w:bottom w:val="single" w:sz="4" w:space="0" w:color="auto"/>
              <w:right w:val="single" w:sz="8" w:space="0" w:color="auto"/>
            </w:tcBorders>
            <w:shd w:val="clear" w:color="auto" w:fill="auto"/>
            <w:noWrap/>
            <w:vAlign w:val="bottom"/>
          </w:tcPr>
          <w:p w14:paraId="31502E10" w14:textId="77777777" w:rsidR="006C2C5B" w:rsidRPr="006C2C5B" w:rsidRDefault="006C2C5B" w:rsidP="006C2C5B">
            <w:pPr>
              <w:jc w:val="right"/>
              <w:rPr>
                <w:sz w:val="18"/>
                <w:szCs w:val="18"/>
                <w:lang w:eastAsia="bg-BG"/>
              </w:rPr>
            </w:pPr>
          </w:p>
        </w:tc>
      </w:tr>
      <w:tr w:rsidR="006C2C5B" w:rsidRPr="006C2C5B" w14:paraId="5FCFDD0F" w14:textId="77777777" w:rsidTr="00B94232">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29A1D" w14:textId="77777777" w:rsidR="006C2C5B" w:rsidRPr="006C2C5B" w:rsidRDefault="006C2C5B" w:rsidP="006C2C5B">
            <w:pPr>
              <w:rPr>
                <w:b/>
                <w:bCs/>
                <w:sz w:val="18"/>
                <w:szCs w:val="18"/>
                <w:lang w:eastAsia="bg-BG"/>
              </w:rPr>
            </w:pPr>
            <w:r w:rsidRPr="006C2C5B">
              <w:rPr>
                <w:b/>
                <w:bCs/>
                <w:sz w:val="18"/>
                <w:szCs w:val="18"/>
                <w:lang w:eastAsia="bg-BG"/>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14:paraId="063F3CA8" w14:textId="77777777" w:rsidR="006C2C5B" w:rsidRPr="006C2C5B" w:rsidRDefault="006C2C5B" w:rsidP="006C2C5B">
            <w:pPr>
              <w:jc w:val="right"/>
              <w:rPr>
                <w:b/>
                <w:bCs/>
                <w:sz w:val="18"/>
                <w:szCs w:val="18"/>
                <w:lang w:eastAsia="bg-BG"/>
              </w:rPr>
            </w:pPr>
            <w:r w:rsidRPr="006C2C5B">
              <w:rPr>
                <w:b/>
                <w:bCs/>
                <w:sz w:val="18"/>
                <w:szCs w:val="18"/>
                <w:lang w:eastAsia="bg-BG"/>
              </w:rPr>
              <w:t>46 826,6</w:t>
            </w:r>
          </w:p>
        </w:tc>
        <w:tc>
          <w:tcPr>
            <w:tcW w:w="1616" w:type="dxa"/>
            <w:tcBorders>
              <w:top w:val="single" w:sz="4" w:space="0" w:color="auto"/>
              <w:left w:val="nil"/>
              <w:bottom w:val="single" w:sz="4" w:space="0" w:color="auto"/>
              <w:right w:val="nil"/>
            </w:tcBorders>
            <w:shd w:val="clear" w:color="auto" w:fill="auto"/>
            <w:noWrap/>
            <w:vAlign w:val="bottom"/>
          </w:tcPr>
          <w:p w14:paraId="43069EB8" w14:textId="77777777" w:rsidR="006C2C5B" w:rsidRPr="006C2C5B" w:rsidRDefault="006C2C5B" w:rsidP="006C2C5B">
            <w:pPr>
              <w:jc w:val="right"/>
              <w:rPr>
                <w:b/>
                <w:bCs/>
                <w:sz w:val="18"/>
                <w:szCs w:val="18"/>
                <w:lang w:eastAsia="bg-BG"/>
              </w:rPr>
            </w:pPr>
            <w:r w:rsidRPr="006C2C5B">
              <w:rPr>
                <w:b/>
                <w:bCs/>
                <w:sz w:val="18"/>
                <w:szCs w:val="18"/>
                <w:lang w:eastAsia="bg-BG"/>
              </w:rPr>
              <w:t>45 061,4</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7003E0B1" w14:textId="77777777" w:rsidR="006C2C5B" w:rsidRPr="006C2C5B" w:rsidRDefault="006C2C5B" w:rsidP="006C2C5B">
            <w:pPr>
              <w:jc w:val="right"/>
              <w:rPr>
                <w:b/>
                <w:bCs/>
                <w:sz w:val="18"/>
                <w:szCs w:val="18"/>
                <w:lang w:eastAsia="bg-BG"/>
              </w:rPr>
            </w:pPr>
            <w:r w:rsidRPr="006C2C5B">
              <w:rPr>
                <w:b/>
                <w:bCs/>
                <w:sz w:val="18"/>
                <w:szCs w:val="18"/>
                <w:lang w:eastAsia="bg-BG"/>
              </w:rPr>
              <w:t>96,2%</w:t>
            </w:r>
          </w:p>
        </w:tc>
      </w:tr>
      <w:tr w:rsidR="006C2C5B" w:rsidRPr="006C2C5B" w14:paraId="0F14FFBE" w14:textId="77777777" w:rsidTr="00B94232">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446084E8" w14:textId="77777777" w:rsidR="006C2C5B" w:rsidRPr="006C2C5B" w:rsidRDefault="006C2C5B" w:rsidP="006C2C5B">
            <w:pPr>
              <w:rPr>
                <w:b/>
                <w:i/>
                <w:sz w:val="18"/>
                <w:szCs w:val="18"/>
                <w:lang w:eastAsia="bg-BG"/>
              </w:rPr>
            </w:pPr>
            <w:r w:rsidRPr="006C2C5B">
              <w:rPr>
                <w:b/>
                <w:i/>
                <w:sz w:val="18"/>
                <w:szCs w:val="18"/>
                <w:lang w:eastAsia="bg-BG"/>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14:paraId="45D786CE" w14:textId="77777777" w:rsidR="006C2C5B" w:rsidRPr="006C2C5B" w:rsidRDefault="006C2C5B" w:rsidP="006C2C5B">
            <w:pPr>
              <w:jc w:val="right"/>
              <w:rPr>
                <w:sz w:val="18"/>
                <w:szCs w:val="18"/>
                <w:lang w:eastAsia="bg-BG"/>
              </w:rPr>
            </w:pPr>
            <w:r w:rsidRPr="006C2C5B">
              <w:rPr>
                <w:sz w:val="18"/>
                <w:szCs w:val="18"/>
                <w:lang w:eastAsia="bg-BG"/>
              </w:rPr>
              <w:t>21 336,8</w:t>
            </w:r>
          </w:p>
        </w:tc>
        <w:tc>
          <w:tcPr>
            <w:tcW w:w="1616" w:type="dxa"/>
            <w:tcBorders>
              <w:top w:val="single" w:sz="4" w:space="0" w:color="auto"/>
              <w:left w:val="nil"/>
              <w:bottom w:val="nil"/>
              <w:right w:val="nil"/>
            </w:tcBorders>
            <w:shd w:val="clear" w:color="auto" w:fill="auto"/>
            <w:noWrap/>
            <w:vAlign w:val="bottom"/>
          </w:tcPr>
          <w:p w14:paraId="785B7475" w14:textId="77777777" w:rsidR="006C2C5B" w:rsidRPr="006C2C5B" w:rsidRDefault="006C2C5B" w:rsidP="006C2C5B">
            <w:pPr>
              <w:jc w:val="right"/>
              <w:rPr>
                <w:sz w:val="18"/>
                <w:szCs w:val="18"/>
                <w:lang w:eastAsia="bg-BG"/>
              </w:rPr>
            </w:pPr>
            <w:r w:rsidRPr="006C2C5B">
              <w:rPr>
                <w:sz w:val="18"/>
                <w:szCs w:val="18"/>
                <w:lang w:eastAsia="bg-BG"/>
              </w:rPr>
              <w:t>18 785,5</w:t>
            </w:r>
          </w:p>
        </w:tc>
        <w:tc>
          <w:tcPr>
            <w:tcW w:w="1304" w:type="dxa"/>
            <w:tcBorders>
              <w:top w:val="single" w:sz="4" w:space="0" w:color="auto"/>
              <w:left w:val="nil"/>
              <w:bottom w:val="nil"/>
              <w:right w:val="single" w:sz="8" w:space="0" w:color="auto"/>
            </w:tcBorders>
            <w:shd w:val="clear" w:color="auto" w:fill="auto"/>
            <w:noWrap/>
            <w:vAlign w:val="bottom"/>
          </w:tcPr>
          <w:p w14:paraId="678FB4B9" w14:textId="77777777" w:rsidR="006C2C5B" w:rsidRPr="006C2C5B" w:rsidRDefault="006C2C5B" w:rsidP="006C2C5B">
            <w:pPr>
              <w:jc w:val="right"/>
              <w:rPr>
                <w:sz w:val="18"/>
                <w:szCs w:val="18"/>
                <w:lang w:eastAsia="bg-BG"/>
              </w:rPr>
            </w:pPr>
            <w:r w:rsidRPr="006C2C5B">
              <w:rPr>
                <w:sz w:val="18"/>
                <w:szCs w:val="18"/>
                <w:lang w:eastAsia="bg-BG"/>
              </w:rPr>
              <w:t>88,0%</w:t>
            </w:r>
          </w:p>
        </w:tc>
      </w:tr>
      <w:tr w:rsidR="006C2C5B" w:rsidRPr="006C2C5B" w14:paraId="7DAFCC42" w14:textId="77777777" w:rsidTr="00B9423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33A3CA08" w14:textId="77777777" w:rsidR="006C2C5B" w:rsidRPr="006C2C5B" w:rsidRDefault="006C2C5B" w:rsidP="006C2C5B">
            <w:pPr>
              <w:rPr>
                <w:sz w:val="18"/>
                <w:szCs w:val="18"/>
                <w:lang w:eastAsia="bg-BG"/>
              </w:rPr>
            </w:pPr>
            <w:r w:rsidRPr="006C2C5B">
              <w:rPr>
                <w:sz w:val="18"/>
                <w:szCs w:val="18"/>
                <w:lang w:eastAsia="bg-BG"/>
              </w:rPr>
              <w:t xml:space="preserve">      Текущи </w:t>
            </w:r>
          </w:p>
        </w:tc>
        <w:tc>
          <w:tcPr>
            <w:tcW w:w="1276" w:type="dxa"/>
            <w:tcBorders>
              <w:top w:val="nil"/>
              <w:left w:val="nil"/>
              <w:bottom w:val="nil"/>
              <w:right w:val="nil"/>
            </w:tcBorders>
            <w:shd w:val="clear" w:color="auto" w:fill="auto"/>
            <w:noWrap/>
            <w:vAlign w:val="bottom"/>
          </w:tcPr>
          <w:p w14:paraId="2D8A5C9D" w14:textId="77777777" w:rsidR="006C2C5B" w:rsidRPr="006C2C5B" w:rsidRDefault="006C2C5B" w:rsidP="006C2C5B">
            <w:pPr>
              <w:jc w:val="right"/>
              <w:rPr>
                <w:sz w:val="18"/>
                <w:szCs w:val="18"/>
                <w:lang w:eastAsia="bg-BG"/>
              </w:rPr>
            </w:pPr>
            <w:r w:rsidRPr="006C2C5B">
              <w:rPr>
                <w:sz w:val="18"/>
                <w:szCs w:val="18"/>
                <w:lang w:eastAsia="bg-BG"/>
              </w:rPr>
              <w:t>17 769,2</w:t>
            </w:r>
          </w:p>
        </w:tc>
        <w:tc>
          <w:tcPr>
            <w:tcW w:w="1616" w:type="dxa"/>
            <w:tcBorders>
              <w:top w:val="nil"/>
              <w:left w:val="nil"/>
              <w:bottom w:val="nil"/>
              <w:right w:val="nil"/>
            </w:tcBorders>
            <w:shd w:val="clear" w:color="auto" w:fill="auto"/>
            <w:noWrap/>
            <w:vAlign w:val="bottom"/>
          </w:tcPr>
          <w:p w14:paraId="300FC65B" w14:textId="77777777" w:rsidR="006C2C5B" w:rsidRPr="006C2C5B" w:rsidRDefault="006C2C5B" w:rsidP="006C2C5B">
            <w:pPr>
              <w:jc w:val="right"/>
              <w:rPr>
                <w:sz w:val="18"/>
                <w:szCs w:val="18"/>
                <w:lang w:eastAsia="bg-BG"/>
              </w:rPr>
            </w:pPr>
            <w:r w:rsidRPr="006C2C5B">
              <w:rPr>
                <w:sz w:val="18"/>
                <w:szCs w:val="18"/>
                <w:lang w:eastAsia="bg-BG"/>
              </w:rPr>
              <w:t>14 828,6</w:t>
            </w:r>
          </w:p>
        </w:tc>
        <w:tc>
          <w:tcPr>
            <w:tcW w:w="1304" w:type="dxa"/>
            <w:tcBorders>
              <w:top w:val="nil"/>
              <w:left w:val="nil"/>
              <w:bottom w:val="nil"/>
              <w:right w:val="single" w:sz="8" w:space="0" w:color="auto"/>
            </w:tcBorders>
            <w:shd w:val="clear" w:color="auto" w:fill="auto"/>
            <w:noWrap/>
            <w:vAlign w:val="bottom"/>
          </w:tcPr>
          <w:p w14:paraId="68396A4C" w14:textId="77777777" w:rsidR="006C2C5B" w:rsidRPr="006C2C5B" w:rsidRDefault="006C2C5B" w:rsidP="006C2C5B">
            <w:pPr>
              <w:jc w:val="right"/>
              <w:rPr>
                <w:sz w:val="18"/>
                <w:szCs w:val="18"/>
                <w:lang w:eastAsia="bg-BG"/>
              </w:rPr>
            </w:pPr>
            <w:r w:rsidRPr="006C2C5B">
              <w:rPr>
                <w:sz w:val="18"/>
                <w:szCs w:val="18"/>
                <w:lang w:eastAsia="bg-BG"/>
              </w:rPr>
              <w:t>83,5%</w:t>
            </w:r>
          </w:p>
        </w:tc>
      </w:tr>
      <w:tr w:rsidR="006C2C5B" w:rsidRPr="006C2C5B" w14:paraId="7C6DA7BF" w14:textId="77777777" w:rsidTr="00B9423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5C3BFA55" w14:textId="77777777" w:rsidR="006C2C5B" w:rsidRPr="006C2C5B" w:rsidRDefault="006C2C5B" w:rsidP="006C2C5B">
            <w:pPr>
              <w:rPr>
                <w:sz w:val="18"/>
                <w:szCs w:val="18"/>
                <w:lang w:eastAsia="bg-BG"/>
              </w:rPr>
            </w:pPr>
            <w:r w:rsidRPr="006C2C5B">
              <w:rPr>
                <w:sz w:val="18"/>
                <w:szCs w:val="18"/>
                <w:lang w:eastAsia="bg-BG"/>
              </w:rPr>
              <w:t xml:space="preserve">      Предоставени тек. и капит. трансфери за чужбина</w:t>
            </w:r>
          </w:p>
        </w:tc>
        <w:tc>
          <w:tcPr>
            <w:tcW w:w="1276" w:type="dxa"/>
            <w:tcBorders>
              <w:top w:val="nil"/>
              <w:left w:val="nil"/>
              <w:bottom w:val="nil"/>
              <w:right w:val="nil"/>
            </w:tcBorders>
            <w:shd w:val="clear" w:color="auto" w:fill="auto"/>
            <w:noWrap/>
            <w:vAlign w:val="bottom"/>
          </w:tcPr>
          <w:p w14:paraId="03FF808D" w14:textId="77777777" w:rsidR="006C2C5B" w:rsidRPr="006C2C5B" w:rsidRDefault="006C2C5B" w:rsidP="006C2C5B">
            <w:pPr>
              <w:jc w:val="right"/>
              <w:rPr>
                <w:sz w:val="18"/>
                <w:szCs w:val="18"/>
                <w:lang w:eastAsia="bg-BG"/>
              </w:rPr>
            </w:pPr>
            <w:r w:rsidRPr="006C2C5B">
              <w:rPr>
                <w:sz w:val="18"/>
                <w:szCs w:val="18"/>
                <w:lang w:eastAsia="bg-BG"/>
              </w:rPr>
              <w:t>20,7</w:t>
            </w:r>
          </w:p>
        </w:tc>
        <w:tc>
          <w:tcPr>
            <w:tcW w:w="1616" w:type="dxa"/>
            <w:tcBorders>
              <w:top w:val="nil"/>
              <w:left w:val="nil"/>
              <w:bottom w:val="nil"/>
              <w:right w:val="nil"/>
            </w:tcBorders>
            <w:shd w:val="clear" w:color="auto" w:fill="auto"/>
            <w:noWrap/>
            <w:vAlign w:val="bottom"/>
          </w:tcPr>
          <w:p w14:paraId="7BF34363" w14:textId="77777777" w:rsidR="006C2C5B" w:rsidRPr="006C2C5B" w:rsidRDefault="006C2C5B" w:rsidP="006C2C5B">
            <w:pPr>
              <w:jc w:val="right"/>
              <w:rPr>
                <w:sz w:val="18"/>
                <w:szCs w:val="18"/>
                <w:lang w:eastAsia="bg-BG"/>
              </w:rPr>
            </w:pPr>
            <w:r w:rsidRPr="006C2C5B">
              <w:rPr>
                <w:sz w:val="18"/>
                <w:szCs w:val="18"/>
                <w:lang w:eastAsia="bg-BG"/>
              </w:rPr>
              <w:t>21,4</w:t>
            </w:r>
          </w:p>
        </w:tc>
        <w:tc>
          <w:tcPr>
            <w:tcW w:w="1304" w:type="dxa"/>
            <w:tcBorders>
              <w:top w:val="nil"/>
              <w:left w:val="nil"/>
              <w:bottom w:val="nil"/>
              <w:right w:val="single" w:sz="8" w:space="0" w:color="auto"/>
            </w:tcBorders>
            <w:shd w:val="clear" w:color="auto" w:fill="auto"/>
            <w:noWrap/>
            <w:vAlign w:val="bottom"/>
          </w:tcPr>
          <w:p w14:paraId="3E6D2693" w14:textId="77777777" w:rsidR="006C2C5B" w:rsidRPr="006C2C5B" w:rsidRDefault="006C2C5B" w:rsidP="006C2C5B">
            <w:pPr>
              <w:jc w:val="right"/>
              <w:rPr>
                <w:sz w:val="18"/>
                <w:szCs w:val="18"/>
                <w:lang w:eastAsia="bg-BG"/>
              </w:rPr>
            </w:pPr>
            <w:r w:rsidRPr="006C2C5B">
              <w:rPr>
                <w:sz w:val="18"/>
                <w:szCs w:val="18"/>
                <w:lang w:eastAsia="bg-BG"/>
              </w:rPr>
              <w:t>103,4%</w:t>
            </w:r>
          </w:p>
        </w:tc>
      </w:tr>
      <w:tr w:rsidR="006C2C5B" w:rsidRPr="006C2C5B" w14:paraId="3463372A" w14:textId="77777777" w:rsidTr="00B94232">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14:paraId="15C93C21" w14:textId="77777777" w:rsidR="006C2C5B" w:rsidRPr="006C2C5B" w:rsidRDefault="006C2C5B" w:rsidP="006C2C5B">
            <w:pPr>
              <w:rPr>
                <w:sz w:val="18"/>
                <w:szCs w:val="18"/>
                <w:lang w:eastAsia="bg-BG"/>
              </w:rPr>
            </w:pPr>
            <w:r w:rsidRPr="006C2C5B">
              <w:rPr>
                <w:sz w:val="18"/>
                <w:szCs w:val="18"/>
                <w:lang w:eastAsia="bg-BG"/>
              </w:rPr>
              <w:t xml:space="preserve">      Капиталови</w:t>
            </w:r>
          </w:p>
        </w:tc>
        <w:tc>
          <w:tcPr>
            <w:tcW w:w="1276" w:type="dxa"/>
            <w:tcBorders>
              <w:top w:val="nil"/>
              <w:left w:val="nil"/>
              <w:bottom w:val="nil"/>
              <w:right w:val="nil"/>
            </w:tcBorders>
            <w:shd w:val="clear" w:color="auto" w:fill="auto"/>
            <w:noWrap/>
            <w:vAlign w:val="bottom"/>
          </w:tcPr>
          <w:p w14:paraId="64148DA3" w14:textId="77777777" w:rsidR="006C2C5B" w:rsidRPr="006C2C5B" w:rsidRDefault="006C2C5B" w:rsidP="006C2C5B">
            <w:pPr>
              <w:jc w:val="right"/>
              <w:rPr>
                <w:sz w:val="18"/>
                <w:szCs w:val="18"/>
                <w:lang w:eastAsia="bg-BG"/>
              </w:rPr>
            </w:pPr>
            <w:r w:rsidRPr="006C2C5B">
              <w:rPr>
                <w:sz w:val="18"/>
                <w:szCs w:val="18"/>
                <w:lang w:eastAsia="bg-BG"/>
              </w:rPr>
              <w:t>3 546,9</w:t>
            </w:r>
          </w:p>
        </w:tc>
        <w:tc>
          <w:tcPr>
            <w:tcW w:w="1616" w:type="dxa"/>
            <w:tcBorders>
              <w:top w:val="nil"/>
              <w:left w:val="nil"/>
              <w:bottom w:val="nil"/>
              <w:right w:val="nil"/>
            </w:tcBorders>
            <w:shd w:val="clear" w:color="auto" w:fill="auto"/>
            <w:noWrap/>
            <w:vAlign w:val="bottom"/>
          </w:tcPr>
          <w:p w14:paraId="038A8348" w14:textId="77777777" w:rsidR="006C2C5B" w:rsidRPr="006C2C5B" w:rsidRDefault="006C2C5B" w:rsidP="006C2C5B">
            <w:pPr>
              <w:jc w:val="right"/>
              <w:rPr>
                <w:sz w:val="18"/>
                <w:szCs w:val="18"/>
                <w:lang w:eastAsia="bg-BG"/>
              </w:rPr>
            </w:pPr>
            <w:r w:rsidRPr="006C2C5B">
              <w:rPr>
                <w:sz w:val="18"/>
                <w:szCs w:val="18"/>
                <w:lang w:eastAsia="bg-BG"/>
              </w:rPr>
              <w:t>3 935,6</w:t>
            </w:r>
          </w:p>
        </w:tc>
        <w:tc>
          <w:tcPr>
            <w:tcW w:w="1304" w:type="dxa"/>
            <w:tcBorders>
              <w:top w:val="nil"/>
              <w:left w:val="nil"/>
              <w:bottom w:val="nil"/>
              <w:right w:val="single" w:sz="8" w:space="0" w:color="auto"/>
            </w:tcBorders>
            <w:shd w:val="clear" w:color="auto" w:fill="auto"/>
            <w:noWrap/>
            <w:vAlign w:val="bottom"/>
          </w:tcPr>
          <w:p w14:paraId="73DB0532" w14:textId="77777777" w:rsidR="006C2C5B" w:rsidRPr="006C2C5B" w:rsidRDefault="006C2C5B" w:rsidP="006C2C5B">
            <w:pPr>
              <w:jc w:val="right"/>
              <w:rPr>
                <w:sz w:val="18"/>
                <w:szCs w:val="18"/>
                <w:lang w:eastAsia="bg-BG"/>
              </w:rPr>
            </w:pPr>
            <w:r w:rsidRPr="006C2C5B">
              <w:rPr>
                <w:sz w:val="18"/>
                <w:szCs w:val="18"/>
                <w:lang w:eastAsia="bg-BG"/>
              </w:rPr>
              <w:t>111,0%</w:t>
            </w:r>
          </w:p>
        </w:tc>
      </w:tr>
      <w:tr w:rsidR="006C2C5B" w:rsidRPr="006C2C5B" w14:paraId="42730C3F" w14:textId="77777777" w:rsidTr="00B9423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5D482497" w14:textId="77777777" w:rsidR="006C2C5B" w:rsidRPr="006C2C5B" w:rsidRDefault="006C2C5B" w:rsidP="006C2C5B">
            <w:pPr>
              <w:rPr>
                <w:b/>
                <w:i/>
                <w:sz w:val="18"/>
                <w:szCs w:val="18"/>
                <w:lang w:eastAsia="bg-BG"/>
              </w:rPr>
            </w:pPr>
            <w:r w:rsidRPr="006C2C5B">
              <w:rPr>
                <w:b/>
                <w:i/>
                <w:sz w:val="18"/>
                <w:szCs w:val="18"/>
                <w:lang w:eastAsia="bg-BG"/>
              </w:rPr>
              <w:t xml:space="preserve">   -Лихви</w:t>
            </w:r>
          </w:p>
        </w:tc>
        <w:tc>
          <w:tcPr>
            <w:tcW w:w="1276" w:type="dxa"/>
            <w:tcBorders>
              <w:top w:val="nil"/>
              <w:left w:val="nil"/>
              <w:bottom w:val="nil"/>
              <w:right w:val="nil"/>
            </w:tcBorders>
            <w:shd w:val="clear" w:color="auto" w:fill="auto"/>
            <w:noWrap/>
            <w:vAlign w:val="bottom"/>
          </w:tcPr>
          <w:p w14:paraId="33B0A8FF" w14:textId="77777777" w:rsidR="006C2C5B" w:rsidRPr="006C2C5B" w:rsidRDefault="006C2C5B" w:rsidP="006C2C5B">
            <w:pPr>
              <w:jc w:val="right"/>
              <w:rPr>
                <w:sz w:val="18"/>
                <w:szCs w:val="18"/>
                <w:lang w:eastAsia="bg-BG"/>
              </w:rPr>
            </w:pPr>
            <w:r w:rsidRPr="006C2C5B">
              <w:rPr>
                <w:sz w:val="18"/>
                <w:szCs w:val="18"/>
                <w:lang w:eastAsia="bg-BG"/>
              </w:rPr>
              <w:t>784,1</w:t>
            </w:r>
          </w:p>
        </w:tc>
        <w:tc>
          <w:tcPr>
            <w:tcW w:w="1616" w:type="dxa"/>
            <w:tcBorders>
              <w:top w:val="nil"/>
              <w:left w:val="nil"/>
              <w:bottom w:val="nil"/>
              <w:right w:val="nil"/>
            </w:tcBorders>
            <w:shd w:val="clear" w:color="auto" w:fill="auto"/>
            <w:noWrap/>
            <w:vAlign w:val="bottom"/>
          </w:tcPr>
          <w:p w14:paraId="1B5006F2" w14:textId="77777777" w:rsidR="006C2C5B" w:rsidRPr="006C2C5B" w:rsidRDefault="006C2C5B" w:rsidP="006C2C5B">
            <w:pPr>
              <w:jc w:val="right"/>
              <w:rPr>
                <w:sz w:val="18"/>
                <w:szCs w:val="18"/>
                <w:lang w:eastAsia="bg-BG"/>
              </w:rPr>
            </w:pPr>
            <w:r w:rsidRPr="006C2C5B">
              <w:rPr>
                <w:sz w:val="18"/>
                <w:szCs w:val="18"/>
                <w:lang w:eastAsia="bg-BG"/>
              </w:rPr>
              <w:t>782,2</w:t>
            </w:r>
          </w:p>
        </w:tc>
        <w:tc>
          <w:tcPr>
            <w:tcW w:w="1304" w:type="dxa"/>
            <w:tcBorders>
              <w:top w:val="nil"/>
              <w:left w:val="nil"/>
              <w:bottom w:val="nil"/>
              <w:right w:val="single" w:sz="8" w:space="0" w:color="auto"/>
            </w:tcBorders>
            <w:shd w:val="clear" w:color="auto" w:fill="auto"/>
            <w:noWrap/>
            <w:vAlign w:val="bottom"/>
          </w:tcPr>
          <w:p w14:paraId="68273041" w14:textId="77777777" w:rsidR="006C2C5B" w:rsidRPr="006C2C5B" w:rsidRDefault="006C2C5B" w:rsidP="006C2C5B">
            <w:pPr>
              <w:jc w:val="right"/>
              <w:rPr>
                <w:sz w:val="18"/>
                <w:szCs w:val="18"/>
                <w:lang w:eastAsia="bg-BG"/>
              </w:rPr>
            </w:pPr>
            <w:r w:rsidRPr="006C2C5B">
              <w:rPr>
                <w:sz w:val="18"/>
                <w:szCs w:val="18"/>
                <w:lang w:eastAsia="bg-BG"/>
              </w:rPr>
              <w:t>99,8%</w:t>
            </w:r>
          </w:p>
        </w:tc>
      </w:tr>
      <w:tr w:rsidR="006C2C5B" w:rsidRPr="006C2C5B" w14:paraId="79BBC567" w14:textId="77777777" w:rsidTr="00B9423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52A9B689" w14:textId="77777777" w:rsidR="006C2C5B" w:rsidRPr="006C2C5B" w:rsidRDefault="006C2C5B" w:rsidP="006C2C5B">
            <w:pPr>
              <w:rPr>
                <w:sz w:val="18"/>
                <w:szCs w:val="18"/>
                <w:lang w:eastAsia="bg-BG"/>
              </w:rPr>
            </w:pPr>
            <w:r w:rsidRPr="006C2C5B">
              <w:rPr>
                <w:sz w:val="18"/>
                <w:szCs w:val="18"/>
                <w:lang w:eastAsia="bg-BG"/>
              </w:rPr>
              <w:t xml:space="preserve">      По външни заеми</w:t>
            </w:r>
          </w:p>
        </w:tc>
        <w:tc>
          <w:tcPr>
            <w:tcW w:w="1276" w:type="dxa"/>
            <w:tcBorders>
              <w:top w:val="nil"/>
              <w:left w:val="nil"/>
              <w:bottom w:val="nil"/>
              <w:right w:val="nil"/>
            </w:tcBorders>
            <w:shd w:val="clear" w:color="auto" w:fill="auto"/>
            <w:noWrap/>
            <w:vAlign w:val="bottom"/>
          </w:tcPr>
          <w:p w14:paraId="53CC83F4" w14:textId="77777777" w:rsidR="006C2C5B" w:rsidRPr="006C2C5B" w:rsidRDefault="006C2C5B" w:rsidP="006C2C5B">
            <w:pPr>
              <w:jc w:val="right"/>
              <w:rPr>
                <w:sz w:val="18"/>
                <w:szCs w:val="18"/>
                <w:lang w:eastAsia="bg-BG"/>
              </w:rPr>
            </w:pPr>
            <w:r w:rsidRPr="006C2C5B">
              <w:rPr>
                <w:sz w:val="18"/>
                <w:szCs w:val="18"/>
                <w:lang w:eastAsia="bg-BG"/>
              </w:rPr>
              <w:t>667,2</w:t>
            </w:r>
          </w:p>
        </w:tc>
        <w:tc>
          <w:tcPr>
            <w:tcW w:w="1616" w:type="dxa"/>
            <w:tcBorders>
              <w:top w:val="nil"/>
              <w:left w:val="nil"/>
              <w:bottom w:val="nil"/>
              <w:right w:val="nil"/>
            </w:tcBorders>
            <w:shd w:val="clear" w:color="auto" w:fill="auto"/>
            <w:noWrap/>
            <w:vAlign w:val="bottom"/>
          </w:tcPr>
          <w:p w14:paraId="67EF0DD7" w14:textId="77777777" w:rsidR="006C2C5B" w:rsidRPr="006C2C5B" w:rsidRDefault="006C2C5B" w:rsidP="006C2C5B">
            <w:pPr>
              <w:jc w:val="right"/>
              <w:rPr>
                <w:sz w:val="18"/>
                <w:szCs w:val="18"/>
                <w:lang w:eastAsia="bg-BG"/>
              </w:rPr>
            </w:pPr>
            <w:r w:rsidRPr="006C2C5B">
              <w:rPr>
                <w:sz w:val="18"/>
                <w:szCs w:val="18"/>
                <w:lang w:eastAsia="bg-BG"/>
              </w:rPr>
              <w:t>665,0</w:t>
            </w:r>
          </w:p>
        </w:tc>
        <w:tc>
          <w:tcPr>
            <w:tcW w:w="1304" w:type="dxa"/>
            <w:tcBorders>
              <w:top w:val="nil"/>
              <w:left w:val="nil"/>
              <w:bottom w:val="nil"/>
              <w:right w:val="single" w:sz="8" w:space="0" w:color="auto"/>
            </w:tcBorders>
            <w:shd w:val="clear" w:color="auto" w:fill="auto"/>
            <w:noWrap/>
            <w:vAlign w:val="bottom"/>
          </w:tcPr>
          <w:p w14:paraId="58F2E804" w14:textId="77777777" w:rsidR="006C2C5B" w:rsidRPr="006C2C5B" w:rsidRDefault="006C2C5B" w:rsidP="006C2C5B">
            <w:pPr>
              <w:jc w:val="right"/>
              <w:rPr>
                <w:sz w:val="18"/>
                <w:szCs w:val="18"/>
                <w:lang w:eastAsia="bg-BG"/>
              </w:rPr>
            </w:pPr>
            <w:r w:rsidRPr="006C2C5B">
              <w:rPr>
                <w:sz w:val="18"/>
                <w:szCs w:val="18"/>
                <w:lang w:eastAsia="bg-BG"/>
              </w:rPr>
              <w:t>99,7%</w:t>
            </w:r>
          </w:p>
        </w:tc>
      </w:tr>
      <w:tr w:rsidR="006C2C5B" w:rsidRPr="006C2C5B" w14:paraId="76E70602" w14:textId="77777777" w:rsidTr="00B94232">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14:paraId="33910C76" w14:textId="77777777" w:rsidR="006C2C5B" w:rsidRPr="006C2C5B" w:rsidRDefault="006C2C5B" w:rsidP="006C2C5B">
            <w:pPr>
              <w:rPr>
                <w:sz w:val="18"/>
                <w:szCs w:val="18"/>
                <w:lang w:eastAsia="bg-BG"/>
              </w:rPr>
            </w:pPr>
            <w:r w:rsidRPr="006C2C5B">
              <w:rPr>
                <w:sz w:val="18"/>
                <w:szCs w:val="18"/>
                <w:lang w:eastAsia="bg-BG"/>
              </w:rPr>
              <w:t xml:space="preserve">      По вътрешни заеми</w:t>
            </w:r>
          </w:p>
        </w:tc>
        <w:tc>
          <w:tcPr>
            <w:tcW w:w="1276" w:type="dxa"/>
            <w:tcBorders>
              <w:top w:val="nil"/>
              <w:left w:val="nil"/>
              <w:bottom w:val="nil"/>
              <w:right w:val="nil"/>
            </w:tcBorders>
            <w:shd w:val="clear" w:color="auto" w:fill="auto"/>
            <w:noWrap/>
            <w:vAlign w:val="bottom"/>
          </w:tcPr>
          <w:p w14:paraId="5E97D113" w14:textId="77777777" w:rsidR="006C2C5B" w:rsidRPr="006C2C5B" w:rsidRDefault="006C2C5B" w:rsidP="006C2C5B">
            <w:pPr>
              <w:jc w:val="right"/>
              <w:rPr>
                <w:sz w:val="18"/>
                <w:szCs w:val="18"/>
                <w:lang w:eastAsia="bg-BG"/>
              </w:rPr>
            </w:pPr>
            <w:r w:rsidRPr="006C2C5B">
              <w:rPr>
                <w:sz w:val="18"/>
                <w:szCs w:val="18"/>
                <w:lang w:eastAsia="bg-BG"/>
              </w:rPr>
              <w:t>116,9</w:t>
            </w:r>
          </w:p>
        </w:tc>
        <w:tc>
          <w:tcPr>
            <w:tcW w:w="1616" w:type="dxa"/>
            <w:tcBorders>
              <w:top w:val="nil"/>
              <w:left w:val="nil"/>
              <w:bottom w:val="nil"/>
              <w:right w:val="nil"/>
            </w:tcBorders>
            <w:shd w:val="clear" w:color="auto" w:fill="auto"/>
            <w:noWrap/>
            <w:vAlign w:val="bottom"/>
          </w:tcPr>
          <w:p w14:paraId="013CA750" w14:textId="77777777" w:rsidR="006C2C5B" w:rsidRPr="006C2C5B" w:rsidRDefault="006C2C5B" w:rsidP="006C2C5B">
            <w:pPr>
              <w:jc w:val="right"/>
              <w:rPr>
                <w:sz w:val="18"/>
                <w:szCs w:val="18"/>
                <w:lang w:eastAsia="bg-BG"/>
              </w:rPr>
            </w:pPr>
            <w:r w:rsidRPr="006C2C5B">
              <w:rPr>
                <w:sz w:val="18"/>
                <w:szCs w:val="18"/>
                <w:lang w:eastAsia="bg-BG"/>
              </w:rPr>
              <w:t>117,1</w:t>
            </w:r>
          </w:p>
        </w:tc>
        <w:tc>
          <w:tcPr>
            <w:tcW w:w="1304" w:type="dxa"/>
            <w:tcBorders>
              <w:top w:val="nil"/>
              <w:left w:val="nil"/>
              <w:bottom w:val="nil"/>
              <w:right w:val="single" w:sz="8" w:space="0" w:color="auto"/>
            </w:tcBorders>
            <w:shd w:val="clear" w:color="auto" w:fill="auto"/>
            <w:noWrap/>
            <w:vAlign w:val="bottom"/>
          </w:tcPr>
          <w:p w14:paraId="0EEB60A3" w14:textId="77777777" w:rsidR="006C2C5B" w:rsidRPr="006C2C5B" w:rsidRDefault="006C2C5B" w:rsidP="006C2C5B">
            <w:pPr>
              <w:jc w:val="right"/>
              <w:rPr>
                <w:sz w:val="18"/>
                <w:szCs w:val="18"/>
                <w:lang w:eastAsia="bg-BG"/>
              </w:rPr>
            </w:pPr>
            <w:r w:rsidRPr="006C2C5B">
              <w:rPr>
                <w:sz w:val="18"/>
                <w:szCs w:val="18"/>
                <w:lang w:eastAsia="bg-BG"/>
              </w:rPr>
              <w:t>100,2%</w:t>
            </w:r>
          </w:p>
        </w:tc>
      </w:tr>
      <w:tr w:rsidR="006C2C5B" w:rsidRPr="006C2C5B" w14:paraId="51C7BEAB" w14:textId="77777777" w:rsidTr="00B94232">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14:paraId="17DE7A4B" w14:textId="77777777" w:rsidR="006C2C5B" w:rsidRPr="006C2C5B" w:rsidRDefault="006C2C5B" w:rsidP="006C2C5B">
            <w:pPr>
              <w:rPr>
                <w:b/>
                <w:i/>
                <w:sz w:val="18"/>
                <w:szCs w:val="18"/>
                <w:lang w:eastAsia="bg-BG"/>
              </w:rPr>
            </w:pPr>
            <w:r w:rsidRPr="006C2C5B">
              <w:rPr>
                <w:b/>
                <w:i/>
                <w:sz w:val="18"/>
                <w:szCs w:val="18"/>
                <w:lang w:eastAsia="bg-BG"/>
              </w:rPr>
              <w:t xml:space="preserve"> - Резерв за непредвидени и неотложни разходи</w:t>
            </w:r>
            <w:r w:rsidRPr="006C2C5B">
              <w:rPr>
                <w:sz w:val="18"/>
                <w:szCs w:val="18"/>
                <w:vertAlign w:val="superscript"/>
                <w:lang w:eastAsia="bg-BG"/>
              </w:rPr>
              <w:footnoteReference w:id="10"/>
            </w:r>
            <w:r w:rsidRPr="006C2C5B">
              <w:rPr>
                <w:b/>
                <w:i/>
                <w:sz w:val="18"/>
                <w:szCs w:val="18"/>
                <w:lang w:eastAsia="bg-BG"/>
              </w:rPr>
              <w:tab/>
            </w:r>
          </w:p>
        </w:tc>
        <w:tc>
          <w:tcPr>
            <w:tcW w:w="1276" w:type="dxa"/>
            <w:tcBorders>
              <w:top w:val="nil"/>
              <w:left w:val="nil"/>
              <w:bottom w:val="nil"/>
              <w:right w:val="nil"/>
            </w:tcBorders>
            <w:shd w:val="clear" w:color="auto" w:fill="auto"/>
            <w:noWrap/>
            <w:vAlign w:val="bottom"/>
          </w:tcPr>
          <w:p w14:paraId="4D065F58" w14:textId="77777777" w:rsidR="006C2C5B" w:rsidRPr="006C2C5B" w:rsidRDefault="006C2C5B" w:rsidP="006C2C5B">
            <w:pPr>
              <w:jc w:val="right"/>
              <w:rPr>
                <w:sz w:val="18"/>
                <w:szCs w:val="18"/>
                <w:lang w:eastAsia="bg-BG"/>
              </w:rPr>
            </w:pPr>
            <w:r w:rsidRPr="006C2C5B">
              <w:rPr>
                <w:sz w:val="18"/>
                <w:szCs w:val="18"/>
                <w:lang w:eastAsia="bg-BG"/>
              </w:rPr>
              <w:t>131,4</w:t>
            </w:r>
          </w:p>
        </w:tc>
        <w:tc>
          <w:tcPr>
            <w:tcW w:w="1616" w:type="dxa"/>
            <w:tcBorders>
              <w:top w:val="nil"/>
              <w:left w:val="nil"/>
              <w:bottom w:val="nil"/>
              <w:right w:val="nil"/>
            </w:tcBorders>
            <w:shd w:val="clear" w:color="auto" w:fill="auto"/>
            <w:noWrap/>
            <w:vAlign w:val="bottom"/>
          </w:tcPr>
          <w:p w14:paraId="0884937B" w14:textId="77777777" w:rsidR="006C2C5B" w:rsidRPr="006C2C5B" w:rsidRDefault="006C2C5B" w:rsidP="006C2C5B">
            <w:pPr>
              <w:jc w:val="right"/>
              <w:rPr>
                <w:sz w:val="18"/>
                <w:szCs w:val="18"/>
                <w:lang w:eastAsia="bg-BG"/>
              </w:rPr>
            </w:pPr>
          </w:p>
        </w:tc>
        <w:tc>
          <w:tcPr>
            <w:tcW w:w="1304" w:type="dxa"/>
            <w:tcBorders>
              <w:top w:val="nil"/>
              <w:left w:val="nil"/>
              <w:bottom w:val="nil"/>
              <w:right w:val="single" w:sz="8" w:space="0" w:color="auto"/>
            </w:tcBorders>
            <w:shd w:val="clear" w:color="auto" w:fill="auto"/>
            <w:noWrap/>
            <w:vAlign w:val="bottom"/>
          </w:tcPr>
          <w:p w14:paraId="611A875C" w14:textId="77777777" w:rsidR="006C2C5B" w:rsidRPr="006C2C5B" w:rsidRDefault="006C2C5B" w:rsidP="006C2C5B">
            <w:pPr>
              <w:rPr>
                <w:sz w:val="18"/>
                <w:szCs w:val="18"/>
                <w:lang w:eastAsia="bg-BG"/>
              </w:rPr>
            </w:pPr>
            <w:r w:rsidRPr="006C2C5B">
              <w:rPr>
                <w:sz w:val="18"/>
                <w:szCs w:val="18"/>
                <w:lang w:eastAsia="bg-BG"/>
              </w:rPr>
              <w:t> </w:t>
            </w:r>
          </w:p>
        </w:tc>
      </w:tr>
      <w:tr w:rsidR="006C2C5B" w:rsidRPr="006C2C5B" w14:paraId="1B36B98C" w14:textId="77777777" w:rsidTr="00B94232">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76EA95B0" w14:textId="77777777" w:rsidR="006C2C5B" w:rsidRPr="006C2C5B" w:rsidRDefault="006C2C5B" w:rsidP="006C2C5B">
            <w:pPr>
              <w:rPr>
                <w:b/>
                <w:i/>
                <w:sz w:val="18"/>
                <w:szCs w:val="18"/>
                <w:lang w:eastAsia="bg-BG"/>
              </w:rPr>
            </w:pPr>
            <w:r w:rsidRPr="006C2C5B">
              <w:rPr>
                <w:b/>
                <w:i/>
                <w:sz w:val="18"/>
                <w:szCs w:val="18"/>
                <w:lang w:eastAsia="bg-BG"/>
              </w:rPr>
              <w:t xml:space="preserve"> -Трансфери за  др. бюджети – нето</w:t>
            </w:r>
          </w:p>
        </w:tc>
        <w:tc>
          <w:tcPr>
            <w:tcW w:w="1276" w:type="dxa"/>
            <w:tcBorders>
              <w:top w:val="nil"/>
              <w:left w:val="nil"/>
              <w:bottom w:val="nil"/>
              <w:right w:val="nil"/>
            </w:tcBorders>
            <w:shd w:val="clear" w:color="auto" w:fill="auto"/>
            <w:noWrap/>
            <w:vAlign w:val="bottom"/>
          </w:tcPr>
          <w:p w14:paraId="207D6C89" w14:textId="77777777" w:rsidR="006C2C5B" w:rsidRPr="006C2C5B" w:rsidRDefault="006C2C5B" w:rsidP="006C2C5B">
            <w:pPr>
              <w:jc w:val="right"/>
              <w:rPr>
                <w:sz w:val="18"/>
                <w:szCs w:val="18"/>
                <w:lang w:eastAsia="bg-BG"/>
              </w:rPr>
            </w:pPr>
            <w:r w:rsidRPr="006C2C5B">
              <w:rPr>
                <w:sz w:val="18"/>
                <w:szCs w:val="18"/>
                <w:lang w:eastAsia="bg-BG"/>
              </w:rPr>
              <w:t>22 531,9</w:t>
            </w:r>
          </w:p>
        </w:tc>
        <w:tc>
          <w:tcPr>
            <w:tcW w:w="1616" w:type="dxa"/>
            <w:tcBorders>
              <w:top w:val="nil"/>
              <w:left w:val="nil"/>
              <w:bottom w:val="nil"/>
              <w:right w:val="nil"/>
            </w:tcBorders>
            <w:shd w:val="clear" w:color="auto" w:fill="auto"/>
            <w:noWrap/>
            <w:vAlign w:val="bottom"/>
          </w:tcPr>
          <w:p w14:paraId="06B99752" w14:textId="77777777" w:rsidR="006C2C5B" w:rsidRPr="006C2C5B" w:rsidRDefault="006C2C5B" w:rsidP="006C2C5B">
            <w:pPr>
              <w:jc w:val="right"/>
              <w:rPr>
                <w:sz w:val="18"/>
                <w:szCs w:val="18"/>
                <w:lang w:eastAsia="bg-BG"/>
              </w:rPr>
            </w:pPr>
            <w:r w:rsidRPr="006C2C5B">
              <w:rPr>
                <w:sz w:val="18"/>
                <w:szCs w:val="18"/>
                <w:lang w:eastAsia="bg-BG"/>
              </w:rPr>
              <w:t>23 643,9</w:t>
            </w:r>
          </w:p>
        </w:tc>
        <w:tc>
          <w:tcPr>
            <w:tcW w:w="1304" w:type="dxa"/>
            <w:tcBorders>
              <w:top w:val="nil"/>
              <w:left w:val="nil"/>
              <w:bottom w:val="nil"/>
              <w:right w:val="single" w:sz="8" w:space="0" w:color="auto"/>
            </w:tcBorders>
            <w:shd w:val="clear" w:color="auto" w:fill="auto"/>
            <w:noWrap/>
            <w:vAlign w:val="bottom"/>
          </w:tcPr>
          <w:p w14:paraId="18EEC636" w14:textId="77777777" w:rsidR="006C2C5B" w:rsidRPr="006C2C5B" w:rsidRDefault="006C2C5B" w:rsidP="006C2C5B">
            <w:pPr>
              <w:jc w:val="right"/>
              <w:rPr>
                <w:sz w:val="18"/>
                <w:szCs w:val="18"/>
                <w:lang w:eastAsia="bg-BG"/>
              </w:rPr>
            </w:pPr>
            <w:r w:rsidRPr="006C2C5B">
              <w:rPr>
                <w:sz w:val="18"/>
                <w:szCs w:val="18"/>
                <w:lang w:eastAsia="bg-BG"/>
              </w:rPr>
              <w:t>104,9%</w:t>
            </w:r>
          </w:p>
        </w:tc>
      </w:tr>
      <w:tr w:rsidR="006C2C5B" w:rsidRPr="006C2C5B" w14:paraId="57A881A9" w14:textId="77777777" w:rsidTr="00B94232">
        <w:trPr>
          <w:trHeight w:val="6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1D78DE9E" w14:textId="77777777" w:rsidR="006C2C5B" w:rsidRPr="006C2C5B" w:rsidRDefault="006C2C5B" w:rsidP="006C2C5B">
            <w:pPr>
              <w:rPr>
                <w:b/>
                <w:bCs/>
                <w:i/>
                <w:sz w:val="18"/>
                <w:szCs w:val="18"/>
                <w:lang w:eastAsia="bg-BG"/>
              </w:rPr>
            </w:pPr>
            <w:r w:rsidRPr="006C2C5B">
              <w:rPr>
                <w:b/>
                <w:bCs/>
                <w:i/>
                <w:sz w:val="18"/>
                <w:szCs w:val="18"/>
                <w:lang w:eastAsia="bg-BG"/>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14:paraId="41011410" w14:textId="77777777" w:rsidR="006C2C5B" w:rsidRPr="006C2C5B" w:rsidRDefault="006C2C5B" w:rsidP="006C2C5B">
            <w:pPr>
              <w:jc w:val="right"/>
              <w:rPr>
                <w:sz w:val="18"/>
                <w:szCs w:val="18"/>
                <w:lang w:eastAsia="bg-BG"/>
              </w:rPr>
            </w:pPr>
            <w:r w:rsidRPr="006C2C5B">
              <w:rPr>
                <w:sz w:val="18"/>
                <w:szCs w:val="18"/>
                <w:lang w:eastAsia="bg-BG"/>
              </w:rPr>
              <w:t>2 042,4</w:t>
            </w:r>
          </w:p>
        </w:tc>
        <w:tc>
          <w:tcPr>
            <w:tcW w:w="1616" w:type="dxa"/>
            <w:tcBorders>
              <w:top w:val="nil"/>
              <w:left w:val="nil"/>
              <w:bottom w:val="single" w:sz="4" w:space="0" w:color="auto"/>
              <w:right w:val="nil"/>
            </w:tcBorders>
            <w:shd w:val="clear" w:color="auto" w:fill="auto"/>
            <w:noWrap/>
            <w:vAlign w:val="bottom"/>
          </w:tcPr>
          <w:p w14:paraId="616B7A49" w14:textId="77777777" w:rsidR="006C2C5B" w:rsidRPr="006C2C5B" w:rsidRDefault="006C2C5B" w:rsidP="006C2C5B">
            <w:pPr>
              <w:jc w:val="right"/>
              <w:rPr>
                <w:sz w:val="18"/>
                <w:szCs w:val="18"/>
                <w:lang w:eastAsia="bg-BG"/>
              </w:rPr>
            </w:pPr>
            <w:r w:rsidRPr="006C2C5B">
              <w:rPr>
                <w:sz w:val="18"/>
                <w:szCs w:val="18"/>
                <w:lang w:eastAsia="bg-BG"/>
              </w:rPr>
              <w:t>1 849,9</w:t>
            </w:r>
          </w:p>
        </w:tc>
        <w:tc>
          <w:tcPr>
            <w:tcW w:w="1304" w:type="dxa"/>
            <w:tcBorders>
              <w:top w:val="nil"/>
              <w:left w:val="nil"/>
              <w:bottom w:val="single" w:sz="4" w:space="0" w:color="auto"/>
              <w:right w:val="single" w:sz="8" w:space="0" w:color="auto"/>
            </w:tcBorders>
            <w:shd w:val="clear" w:color="auto" w:fill="auto"/>
            <w:noWrap/>
            <w:vAlign w:val="bottom"/>
          </w:tcPr>
          <w:p w14:paraId="733F1F81" w14:textId="77777777" w:rsidR="006C2C5B" w:rsidRPr="006C2C5B" w:rsidRDefault="006C2C5B" w:rsidP="006C2C5B">
            <w:pPr>
              <w:jc w:val="right"/>
              <w:rPr>
                <w:sz w:val="18"/>
                <w:szCs w:val="18"/>
                <w:lang w:eastAsia="bg-BG"/>
              </w:rPr>
            </w:pPr>
            <w:r w:rsidRPr="006C2C5B">
              <w:rPr>
                <w:sz w:val="18"/>
                <w:szCs w:val="18"/>
                <w:lang w:eastAsia="bg-BG"/>
              </w:rPr>
              <w:t>90,6%</w:t>
            </w:r>
          </w:p>
        </w:tc>
      </w:tr>
      <w:tr w:rsidR="006C2C5B" w:rsidRPr="006C2C5B" w14:paraId="4DC7E77F" w14:textId="77777777" w:rsidTr="00B94232">
        <w:trPr>
          <w:trHeight w:val="5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31C83" w14:textId="77777777" w:rsidR="006C2C5B" w:rsidRPr="006C2C5B" w:rsidRDefault="006C2C5B" w:rsidP="006C2C5B">
            <w:pPr>
              <w:rPr>
                <w:b/>
                <w:bCs/>
                <w:sz w:val="18"/>
                <w:szCs w:val="18"/>
                <w:lang w:eastAsia="bg-BG"/>
              </w:rPr>
            </w:pPr>
            <w:r w:rsidRPr="006C2C5B">
              <w:rPr>
                <w:b/>
                <w:bCs/>
                <w:sz w:val="18"/>
                <w:szCs w:val="18"/>
                <w:lang w:eastAsia="bg-BG"/>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14:paraId="1EE9D1EA" w14:textId="77777777" w:rsidR="006C2C5B" w:rsidRPr="006C2C5B" w:rsidRDefault="006C2C5B" w:rsidP="006C2C5B">
            <w:pPr>
              <w:jc w:val="right"/>
              <w:rPr>
                <w:b/>
                <w:bCs/>
                <w:sz w:val="18"/>
                <w:szCs w:val="18"/>
                <w:lang w:eastAsia="bg-BG"/>
              </w:rPr>
            </w:pPr>
            <w:r w:rsidRPr="006C2C5B">
              <w:rPr>
                <w:b/>
                <w:bCs/>
                <w:sz w:val="18"/>
                <w:szCs w:val="18"/>
                <w:lang w:eastAsia="bg-BG"/>
              </w:rPr>
              <w:t>-6 016,0</w:t>
            </w:r>
          </w:p>
        </w:tc>
        <w:tc>
          <w:tcPr>
            <w:tcW w:w="1616" w:type="dxa"/>
            <w:tcBorders>
              <w:top w:val="nil"/>
              <w:left w:val="nil"/>
              <w:bottom w:val="single" w:sz="8" w:space="0" w:color="auto"/>
              <w:right w:val="nil"/>
            </w:tcBorders>
            <w:shd w:val="clear" w:color="auto" w:fill="auto"/>
            <w:noWrap/>
            <w:vAlign w:val="bottom"/>
          </w:tcPr>
          <w:p w14:paraId="0B26CF75" w14:textId="77777777" w:rsidR="006C2C5B" w:rsidRPr="006C2C5B" w:rsidRDefault="006C2C5B" w:rsidP="006C2C5B">
            <w:pPr>
              <w:jc w:val="right"/>
              <w:rPr>
                <w:b/>
                <w:bCs/>
                <w:sz w:val="18"/>
                <w:szCs w:val="18"/>
                <w:lang w:eastAsia="bg-BG"/>
              </w:rPr>
            </w:pPr>
            <w:r w:rsidRPr="006C2C5B">
              <w:rPr>
                <w:b/>
                <w:bCs/>
                <w:sz w:val="18"/>
                <w:szCs w:val="18"/>
                <w:lang w:eastAsia="bg-BG"/>
              </w:rPr>
              <w:t>-5 275,2</w:t>
            </w:r>
          </w:p>
        </w:tc>
        <w:tc>
          <w:tcPr>
            <w:tcW w:w="1304" w:type="dxa"/>
            <w:tcBorders>
              <w:top w:val="nil"/>
              <w:left w:val="nil"/>
              <w:bottom w:val="single" w:sz="8" w:space="0" w:color="auto"/>
              <w:right w:val="single" w:sz="8" w:space="0" w:color="auto"/>
            </w:tcBorders>
            <w:shd w:val="clear" w:color="auto" w:fill="auto"/>
            <w:noWrap/>
            <w:vAlign w:val="bottom"/>
          </w:tcPr>
          <w:p w14:paraId="6AF17FFC" w14:textId="77777777" w:rsidR="006C2C5B" w:rsidRPr="006C2C5B" w:rsidRDefault="006C2C5B" w:rsidP="006C2C5B">
            <w:pPr>
              <w:rPr>
                <w:b/>
                <w:bCs/>
                <w:sz w:val="18"/>
                <w:szCs w:val="18"/>
                <w:lang w:eastAsia="bg-BG"/>
              </w:rPr>
            </w:pPr>
            <w:r w:rsidRPr="006C2C5B">
              <w:rPr>
                <w:b/>
                <w:bCs/>
                <w:sz w:val="18"/>
                <w:szCs w:val="18"/>
                <w:lang w:eastAsia="bg-BG"/>
              </w:rPr>
              <w:t> </w:t>
            </w:r>
          </w:p>
        </w:tc>
      </w:tr>
    </w:tbl>
    <w:p w14:paraId="0908E435" w14:textId="77777777" w:rsidR="006C2C5B" w:rsidRPr="006C2C5B" w:rsidRDefault="006C2C5B" w:rsidP="006C2C5B">
      <w:pPr>
        <w:ind w:right="-242"/>
        <w:rPr>
          <w:b/>
          <w:bCs/>
          <w:color w:val="0070C0"/>
          <w:sz w:val="6"/>
          <w:szCs w:val="6"/>
          <w:lang w:eastAsia="bg-BG"/>
        </w:rPr>
      </w:pPr>
    </w:p>
    <w:p w14:paraId="35277C67" w14:textId="77777777" w:rsidR="006C2C5B" w:rsidRPr="006C2C5B" w:rsidRDefault="006C2C5B" w:rsidP="006C2C5B">
      <w:pPr>
        <w:spacing w:after="120"/>
        <w:ind w:left="360"/>
        <w:jc w:val="both"/>
        <w:rPr>
          <w:b/>
          <w:color w:val="0070C0"/>
          <w:sz w:val="12"/>
        </w:rPr>
      </w:pPr>
    </w:p>
    <w:p w14:paraId="46DC4945" w14:textId="77777777" w:rsidR="006C2C5B" w:rsidRPr="006C2C5B" w:rsidRDefault="006C2C5B" w:rsidP="006C2C5B">
      <w:pPr>
        <w:spacing w:after="120"/>
        <w:ind w:left="360"/>
        <w:jc w:val="both"/>
        <w:rPr>
          <w:b/>
          <w:color w:val="0070C0"/>
          <w:sz w:val="12"/>
        </w:rPr>
      </w:pPr>
    </w:p>
    <w:p w14:paraId="7469EA46" w14:textId="77777777" w:rsidR="00BF4E0A" w:rsidRPr="00C2750F" w:rsidRDefault="00BF4E0A" w:rsidP="00BF4E0A">
      <w:pPr>
        <w:pStyle w:val="BodyTextIndent"/>
        <w:numPr>
          <w:ilvl w:val="0"/>
          <w:numId w:val="2"/>
        </w:numPr>
        <w:jc w:val="both"/>
        <w:rPr>
          <w:b/>
        </w:rPr>
      </w:pPr>
      <w:r w:rsidRPr="00C2750F">
        <w:rPr>
          <w:b/>
          <w:bCs/>
        </w:rPr>
        <w:t xml:space="preserve">Приходи по държавния бюджет </w:t>
      </w:r>
    </w:p>
    <w:p w14:paraId="1E4D6735" w14:textId="77777777" w:rsidR="00BF4E0A" w:rsidRPr="00C2750F" w:rsidRDefault="00BF4E0A" w:rsidP="00BF4E0A">
      <w:pPr>
        <w:spacing w:after="120"/>
        <w:jc w:val="both"/>
        <w:rPr>
          <w:bCs/>
        </w:rPr>
      </w:pPr>
      <w:r w:rsidRPr="00C2750F">
        <w:rPr>
          <w:bCs/>
        </w:rPr>
        <w:t>Общият размер на</w:t>
      </w:r>
      <w:r w:rsidRPr="00C2750F">
        <w:rPr>
          <w:b/>
          <w:bCs/>
        </w:rPr>
        <w:t xml:space="preserve"> приходите, помощите и даренията по държавния бюджет</w:t>
      </w:r>
      <w:r w:rsidRPr="00C2750F">
        <w:rPr>
          <w:bCs/>
        </w:rPr>
        <w:t xml:space="preserve"> </w:t>
      </w:r>
      <w:r>
        <w:rPr>
          <w:bCs/>
        </w:rPr>
        <w:t>за</w:t>
      </w:r>
      <w:r w:rsidRPr="00C2750F">
        <w:rPr>
          <w:bCs/>
        </w:rPr>
        <w:t xml:space="preserve"> 2023 г. е</w:t>
      </w:r>
      <w:r w:rsidRPr="00C2750F">
        <w:rPr>
          <w:b/>
          <w:bCs/>
        </w:rPr>
        <w:t xml:space="preserve"> 39 786,3 млн. лв.</w:t>
      </w:r>
      <w:r w:rsidRPr="00C2750F">
        <w:rPr>
          <w:bCs/>
        </w:rPr>
        <w:t>, което представлява 97,5 % изпълнение на разчетите по ЗДБРБ за 2023 година.</w:t>
      </w:r>
    </w:p>
    <w:p w14:paraId="1A7D25C3" w14:textId="77777777" w:rsidR="00BF4E0A" w:rsidRPr="00F97B83" w:rsidRDefault="00BF4E0A" w:rsidP="00BF4E0A">
      <w:pPr>
        <w:numPr>
          <w:ilvl w:val="0"/>
          <w:numId w:val="3"/>
        </w:numPr>
        <w:tabs>
          <w:tab w:val="num" w:pos="720"/>
        </w:tabs>
        <w:ind w:left="0" w:firstLine="180"/>
        <w:jc w:val="both"/>
        <w:rPr>
          <w:b/>
          <w:bCs/>
        </w:rPr>
      </w:pPr>
      <w:r w:rsidRPr="00F97B83">
        <w:rPr>
          <w:bCs/>
        </w:rPr>
        <w:t xml:space="preserve"> </w:t>
      </w:r>
      <w:r w:rsidRPr="00F97B83">
        <w:rPr>
          <w:b/>
          <w:bCs/>
        </w:rPr>
        <w:t>Данъчни приходи</w:t>
      </w:r>
    </w:p>
    <w:p w14:paraId="4E1E6495" w14:textId="77777777" w:rsidR="00BF4E0A" w:rsidRPr="001050E8" w:rsidRDefault="00BF4E0A" w:rsidP="00BF4E0A">
      <w:pPr>
        <w:jc w:val="both"/>
        <w:rPr>
          <w:bCs/>
          <w:color w:val="0070C0"/>
          <w:sz w:val="4"/>
          <w:szCs w:val="4"/>
        </w:rPr>
      </w:pPr>
    </w:p>
    <w:p w14:paraId="7F05918D" w14:textId="77777777" w:rsidR="00BF4E0A" w:rsidRPr="001050E8" w:rsidRDefault="00BF4E0A" w:rsidP="00BF4E0A">
      <w:pPr>
        <w:jc w:val="both"/>
        <w:rPr>
          <w:color w:val="0070C0"/>
          <w:sz w:val="10"/>
        </w:rPr>
      </w:pPr>
      <w:r w:rsidRPr="00F97B83">
        <w:rPr>
          <w:bCs/>
        </w:rPr>
        <w:t>Размерът на</w:t>
      </w:r>
      <w:r w:rsidRPr="00F97B83">
        <w:rPr>
          <w:b/>
          <w:bCs/>
        </w:rPr>
        <w:t xml:space="preserve"> данъчните постъпления по държавния бюджет</w:t>
      </w:r>
      <w:r w:rsidRPr="00F97B83">
        <w:rPr>
          <w:bCs/>
        </w:rPr>
        <w:t xml:space="preserve"> </w:t>
      </w:r>
      <w:r>
        <w:rPr>
          <w:bCs/>
        </w:rPr>
        <w:t>за</w:t>
      </w:r>
      <w:r w:rsidRPr="00F97B83">
        <w:rPr>
          <w:bCs/>
        </w:rPr>
        <w:t xml:space="preserve"> 2023 г. </w:t>
      </w:r>
      <w:r w:rsidRPr="00F97B83">
        <w:t xml:space="preserve">е </w:t>
      </w:r>
      <w:r w:rsidRPr="00F97B83">
        <w:rPr>
          <w:b/>
          <w:lang w:val="ru-RU"/>
        </w:rPr>
        <w:t>34 351,0</w:t>
      </w:r>
      <w:r w:rsidRPr="00F97B83">
        <w:rPr>
          <w:b/>
        </w:rPr>
        <w:t> млн.</w:t>
      </w:r>
      <w:r w:rsidRPr="00F97B83">
        <w:rPr>
          <w:b/>
          <w:lang w:val="en-US"/>
        </w:rPr>
        <w:t> </w:t>
      </w:r>
      <w:r w:rsidRPr="00F97B83">
        <w:rPr>
          <w:b/>
        </w:rPr>
        <w:t>лв</w:t>
      </w:r>
      <w:r w:rsidRPr="00F97B83">
        <w:t>., което представлява 96,6 % изпълнение на годишните разчети. В сравнение с</w:t>
      </w:r>
      <w:r>
        <w:t xml:space="preserve"> </w:t>
      </w:r>
      <w:r w:rsidRPr="00F97B83">
        <w:t>2022 г. постъпленията в групата нарастват с 2 671,7 млн. лева (8,4 %).</w:t>
      </w:r>
    </w:p>
    <w:p w14:paraId="13ADBDDE" w14:textId="77777777" w:rsidR="00BF4E0A" w:rsidRPr="00A31E19" w:rsidRDefault="00BF4E0A" w:rsidP="00BF4E0A">
      <w:pPr>
        <w:numPr>
          <w:ilvl w:val="0"/>
          <w:numId w:val="4"/>
        </w:numPr>
        <w:tabs>
          <w:tab w:val="clear" w:pos="1440"/>
          <w:tab w:val="num" w:pos="540"/>
        </w:tabs>
        <w:spacing w:before="120" w:after="120"/>
        <w:ind w:left="0" w:firstLine="181"/>
        <w:jc w:val="both"/>
        <w:rPr>
          <w:b/>
          <w:bCs/>
        </w:rPr>
      </w:pPr>
      <w:r w:rsidRPr="00A31E19">
        <w:rPr>
          <w:b/>
          <w:bCs/>
        </w:rPr>
        <w:t>Преки данъци</w:t>
      </w:r>
    </w:p>
    <w:p w14:paraId="0B59BA01" w14:textId="77777777" w:rsidR="00BF4E0A" w:rsidRPr="008F08F1" w:rsidRDefault="00BF4E0A" w:rsidP="00BF4E0A">
      <w:pPr>
        <w:spacing w:before="120"/>
        <w:jc w:val="both"/>
        <w:rPr>
          <w:color w:val="0070C0"/>
          <w:lang w:val="ru-RU"/>
        </w:rPr>
      </w:pPr>
      <w:r w:rsidRPr="00A31E19">
        <w:t>Приходите в групата на</w:t>
      </w:r>
      <w:r w:rsidRPr="00A31E19">
        <w:rPr>
          <w:b/>
        </w:rPr>
        <w:t xml:space="preserve"> преките данъци</w:t>
      </w:r>
      <w:r w:rsidRPr="00A31E19">
        <w:t xml:space="preserve"> са в размер на</w:t>
      </w:r>
      <w:r w:rsidRPr="00A31E19">
        <w:rPr>
          <w:b/>
        </w:rPr>
        <w:t> 11 190,8 млн. лв</w:t>
      </w:r>
      <w:r w:rsidRPr="00A31E19">
        <w:t>. или 96,4 % от планираните за годината, като съпоставени с предходната година постъпленията нарастват с 1 279,7 млн. лв. (12,9 %</w:t>
      </w:r>
      <w:r w:rsidRPr="00E12313">
        <w:t>).</w:t>
      </w:r>
      <w:r w:rsidRPr="008F08F1">
        <w:rPr>
          <w:lang w:val="ru-RU"/>
        </w:rPr>
        <w:t xml:space="preserve"> Повишението се дължи основно на значително по-високите приходи от данъците върху доходите на физическите лица</w:t>
      </w:r>
      <w:r w:rsidRPr="00E12313">
        <w:t>.</w:t>
      </w:r>
    </w:p>
    <w:p w14:paraId="0C416F5D" w14:textId="77777777" w:rsidR="00BF4E0A" w:rsidRDefault="00BF4E0A" w:rsidP="00BF4E0A">
      <w:pPr>
        <w:spacing w:before="120"/>
        <w:jc w:val="both"/>
      </w:pPr>
      <w:r w:rsidRPr="00E85325">
        <w:t>Приходите от</w:t>
      </w:r>
      <w:r w:rsidRPr="00E85325">
        <w:rPr>
          <w:b/>
        </w:rPr>
        <w:t xml:space="preserve"> </w:t>
      </w:r>
      <w:r w:rsidRPr="00E85325">
        <w:rPr>
          <w:b/>
          <w:bCs/>
          <w:i/>
        </w:rPr>
        <w:t>корпоративни данъци</w:t>
      </w:r>
      <w:r w:rsidRPr="00E85325">
        <w:t xml:space="preserve"> </w:t>
      </w:r>
      <w:r>
        <w:rPr>
          <w:bCs/>
        </w:rPr>
        <w:t>за</w:t>
      </w:r>
      <w:r w:rsidRPr="00E85325">
        <w:rPr>
          <w:bCs/>
        </w:rPr>
        <w:t xml:space="preserve"> 2023</w:t>
      </w:r>
      <w:r w:rsidRPr="00E85325">
        <w:rPr>
          <w:b/>
        </w:rPr>
        <w:t> </w:t>
      </w:r>
      <w:r w:rsidRPr="00E85325">
        <w:t>г. са в размер на 5 001,0 млн. лв. или 90,8 % от годишния план. Сравнени с данните към месец декември на предходната година постъпленията нарастват с 408,4 млн. лв. (8,9 %).</w:t>
      </w:r>
      <w:r>
        <w:t xml:space="preserve"> </w:t>
      </w:r>
      <w:r w:rsidRPr="00080817">
        <w:t>Ръстът в изпълнението на приходите от корпоративни данъци за 2023 г. е следствие основно на по-високите с 258,1 млн. лв. (117,9</w:t>
      </w:r>
      <w:r>
        <w:t> </w:t>
      </w:r>
      <w:r w:rsidRPr="00080817">
        <w:t>%) приходи от корпоративен данък от финансови институции спрямо предходната година. Повишението на приходите от този вид данък е в резултат на реализираната през 2023 г. по-висока печалба в банковия сектор и отчита най-високите нива до момента, както в стойностно изражение, така и в процент спрямо предходен период</w:t>
      </w:r>
      <w:r>
        <w:t>.</w:t>
      </w:r>
    </w:p>
    <w:p w14:paraId="455A02B3" w14:textId="77777777" w:rsidR="00BF4E0A" w:rsidRPr="00E85325" w:rsidRDefault="00BF4E0A" w:rsidP="00BF4E0A">
      <w:pPr>
        <w:spacing w:before="120"/>
        <w:jc w:val="both"/>
      </w:pPr>
      <w:r>
        <w:t>Съпоставено с разчетите към ЗДБРБ за 2023 г. постъпилите приходи от корпоративни данъци остават по-ниски, което се дължи на по-амбициозните цели, които бяха заложени за годината. Данните към полугодието на 2</w:t>
      </w:r>
      <w:r w:rsidRPr="00BB1BC2">
        <w:t xml:space="preserve">023 г. </w:t>
      </w:r>
      <w:r>
        <w:t>показваха, че д</w:t>
      </w:r>
      <w:r w:rsidRPr="00BB1BC2">
        <w:t>екларираните авансови вноски</w:t>
      </w:r>
      <w:r>
        <w:t>,</w:t>
      </w:r>
      <w:r w:rsidRPr="00BB1BC2">
        <w:t xml:space="preserve"> съгласно чл. 87а от ЗКПО</w:t>
      </w:r>
      <w:r>
        <w:t xml:space="preserve"> </w:t>
      </w:r>
      <w:r w:rsidRPr="00AA308E">
        <w:t>(</w:t>
      </w:r>
      <w:r w:rsidRPr="00223C29">
        <w:t>в срок от 1 март до 15 април</w:t>
      </w:r>
      <w:r w:rsidRPr="00AA308E">
        <w:t>)</w:t>
      </w:r>
      <w:r w:rsidRPr="00BB1BC2">
        <w:t xml:space="preserve">, които данъчно задължените лица правят въз основа на прогнозната данъчна печалба за текущата година, </w:t>
      </w:r>
      <w:r>
        <w:t xml:space="preserve">отбелязват ръст от </w:t>
      </w:r>
      <w:r w:rsidRPr="00BB1BC2">
        <w:t xml:space="preserve">26,6 % </w:t>
      </w:r>
      <w:r w:rsidRPr="00753D4A">
        <w:t>(</w:t>
      </w:r>
      <w:r w:rsidRPr="00223C29">
        <w:t xml:space="preserve">в т.ч. </w:t>
      </w:r>
      <w:r>
        <w:t xml:space="preserve">при </w:t>
      </w:r>
      <w:r w:rsidRPr="00223C29">
        <w:t>месечни</w:t>
      </w:r>
      <w:r>
        <w:t>те</w:t>
      </w:r>
      <w:r w:rsidRPr="00223C29">
        <w:t xml:space="preserve"> авансови вноски ръст</w:t>
      </w:r>
      <w:r>
        <w:t>ът е 29,0 %</w:t>
      </w:r>
      <w:r w:rsidRPr="00223C29">
        <w:t xml:space="preserve">, а при тримесечните </w:t>
      </w:r>
      <w:r>
        <w:t>-</w:t>
      </w:r>
      <w:r w:rsidRPr="00223C29">
        <w:t xml:space="preserve"> 14,2 %</w:t>
      </w:r>
      <w:r w:rsidRPr="00753D4A">
        <w:t>).</w:t>
      </w:r>
      <w:r>
        <w:t xml:space="preserve"> Законът предвижда в</w:t>
      </w:r>
      <w:r w:rsidRPr="00AA308E">
        <w:t xml:space="preserve">ъзможност за промяна на </w:t>
      </w:r>
      <w:r>
        <w:t xml:space="preserve">размера на </w:t>
      </w:r>
      <w:r w:rsidRPr="00AA308E">
        <w:t xml:space="preserve">авансовите вноски чрез подаване на декларация </w:t>
      </w:r>
      <w:r>
        <w:t>по</w:t>
      </w:r>
      <w:r w:rsidRPr="00AA308E">
        <w:t xml:space="preserve"> чл. 88 от ЗКПО до 15 ноември на текущата година</w:t>
      </w:r>
      <w:r>
        <w:t>,</w:t>
      </w:r>
      <w:r w:rsidRPr="00AA308E">
        <w:t xml:space="preserve"> </w:t>
      </w:r>
      <w:r>
        <w:t xml:space="preserve">в случаите </w:t>
      </w:r>
      <w:r w:rsidRPr="00753D4A">
        <w:t>когато</w:t>
      </w:r>
      <w:r>
        <w:t xml:space="preserve"> данъчно задължените лица</w:t>
      </w:r>
      <w:r w:rsidRPr="00753D4A">
        <w:t xml:space="preserve"> смятат, че </w:t>
      </w:r>
      <w:r>
        <w:t>авансовите вноски</w:t>
      </w:r>
      <w:r w:rsidRPr="00753D4A">
        <w:t xml:space="preserve"> ще се отличават от дължимия годишен корпоративен данък</w:t>
      </w:r>
      <w:r>
        <w:t>. В следствие на това</w:t>
      </w:r>
      <w:r w:rsidRPr="00AA308E">
        <w:t xml:space="preserve">, </w:t>
      </w:r>
      <w:r>
        <w:t xml:space="preserve">към </w:t>
      </w:r>
      <w:r w:rsidRPr="00AA308E">
        <w:t xml:space="preserve">края на годината </w:t>
      </w:r>
      <w:r>
        <w:t>ръстът</w:t>
      </w:r>
      <w:r w:rsidRPr="00AA308E">
        <w:t xml:space="preserve"> на декларирания общ размер на авансовите вноски </w:t>
      </w:r>
      <w:r>
        <w:t xml:space="preserve">е променен и </w:t>
      </w:r>
      <w:r w:rsidRPr="00AA308E">
        <w:t>значително се</w:t>
      </w:r>
      <w:r>
        <w:t xml:space="preserve"> забавя (до 6,6 %) като е близо 4 пъти по-нисък от този към полугодието (при </w:t>
      </w:r>
      <w:r w:rsidRPr="00170EC9">
        <w:t>тримесечни</w:t>
      </w:r>
      <w:r>
        <w:t>те</w:t>
      </w:r>
      <w:r w:rsidRPr="00170EC9">
        <w:t xml:space="preserve"> авансови вноски</w:t>
      </w:r>
      <w:r>
        <w:t xml:space="preserve"> се отчита намаление спрямо предходната година). Този спад определя и по-ниските постъпления от корпоративен данък за последните месеци на годината.</w:t>
      </w:r>
    </w:p>
    <w:p w14:paraId="2926648C" w14:textId="77777777" w:rsidR="00BF4E0A" w:rsidRPr="00C316D8" w:rsidRDefault="00BF4E0A" w:rsidP="00BF4E0A">
      <w:pPr>
        <w:spacing w:before="120"/>
        <w:jc w:val="both"/>
      </w:pPr>
      <w:r w:rsidRPr="00E85325">
        <w:t>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92,3 млн. лв., като съпоставено с 2022</w:t>
      </w:r>
      <w:r w:rsidRPr="00E85325">
        <w:rPr>
          <w:lang w:val="en-US"/>
        </w:rPr>
        <w:t> </w:t>
      </w:r>
      <w:r w:rsidRPr="00E85325">
        <w:t xml:space="preserve">г. приходите намаляват с 1,8 млн. лв. (1,9 %). </w:t>
      </w:r>
      <w:r w:rsidRPr="00C316D8">
        <w:t xml:space="preserve">Постъпленията от данъци върху дивидентите, ликвидационните дялове и доходите на юридически лица зависят от състоянието на икономиката и осъществяващите се процеси по разпределение на фирмена собственост в страната. </w:t>
      </w:r>
    </w:p>
    <w:p w14:paraId="40EC0854" w14:textId="77777777" w:rsidR="00BF4E0A" w:rsidRPr="008F08F1" w:rsidRDefault="00BF4E0A" w:rsidP="00BF4E0A">
      <w:pPr>
        <w:spacing w:before="120" w:after="120"/>
        <w:jc w:val="both"/>
        <w:rPr>
          <w:lang w:val="ru-RU"/>
        </w:rPr>
      </w:pPr>
      <w:r w:rsidRPr="00D91C14">
        <w:t>Приходите от</w:t>
      </w:r>
      <w:r w:rsidRPr="00D91C14">
        <w:rPr>
          <w:b/>
        </w:rPr>
        <w:t xml:space="preserve"> данъци върху доходите на физически лица </w:t>
      </w:r>
      <w:r w:rsidRPr="00D91C14">
        <w:t xml:space="preserve">са в размер на </w:t>
      </w:r>
      <w:r w:rsidRPr="00D91C14">
        <w:rPr>
          <w:b/>
          <w:lang w:val="ru-RU"/>
        </w:rPr>
        <w:t xml:space="preserve">6 189,8 </w:t>
      </w:r>
      <w:r w:rsidRPr="00D91C14">
        <w:rPr>
          <w:b/>
        </w:rPr>
        <w:t>млн. лв.</w:t>
      </w:r>
      <w:r w:rsidRPr="00D91C14">
        <w:t xml:space="preserve"> или 101,5 % спрямо заложените в разчета за годината. Тези приходи са с 871,3 млн. лв. повече или 16,4 % ръст спрямо предходната година.</w:t>
      </w:r>
      <w:r w:rsidRPr="008F08F1">
        <w:rPr>
          <w:lang w:val="ru-RU"/>
        </w:rPr>
        <w:t xml:space="preserve"> </w:t>
      </w:r>
    </w:p>
    <w:p w14:paraId="3A086492" w14:textId="77777777" w:rsidR="00BF4E0A" w:rsidRPr="00A22B18" w:rsidRDefault="00BF4E0A" w:rsidP="00BF4E0A">
      <w:pPr>
        <w:spacing w:before="120" w:after="120"/>
        <w:jc w:val="both"/>
      </w:pPr>
      <w:r w:rsidRPr="00D42DA5">
        <w:t>Върху размера на данъчните постъпления от ДДФЛ основно влияние имат икономическата активност и развитието на пазара на труда, както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тематичните кампании за контрол, провеждани от НАП.</w:t>
      </w:r>
    </w:p>
    <w:p w14:paraId="6F06F7A6" w14:textId="77777777" w:rsidR="00BF4E0A" w:rsidRPr="00BF4E0A" w:rsidRDefault="00BF4E0A" w:rsidP="00BF4E0A">
      <w:pPr>
        <w:spacing w:before="120"/>
        <w:jc w:val="both"/>
      </w:pPr>
      <w:r w:rsidRPr="004C6262">
        <w:rPr>
          <w:i/>
        </w:rPr>
        <w:t>По трудови правоотношения</w:t>
      </w:r>
      <w:r w:rsidRPr="004C6262">
        <w:t xml:space="preserve"> приходите от данъка </w:t>
      </w:r>
      <w:r w:rsidRPr="004C6262">
        <w:rPr>
          <w:bCs/>
        </w:rPr>
        <w:t>към декември 2023</w:t>
      </w:r>
      <w:r w:rsidRPr="004C6262">
        <w:t xml:space="preserve"> г. са 5 049,7 млн. лв., 98,8 % от годишните разчети. Тези приходи нарастват с 691,6 млн. лв. (15,9 %) в сравнение с </w:t>
      </w:r>
      <w:r w:rsidRPr="00BF4E0A">
        <w:t>предходната година.</w:t>
      </w:r>
    </w:p>
    <w:p w14:paraId="7957877F" w14:textId="77777777" w:rsidR="00BF4E0A" w:rsidRPr="00BF4E0A" w:rsidRDefault="00BF4E0A" w:rsidP="00BF4E0A">
      <w:pPr>
        <w:pStyle w:val="ListParagraph"/>
        <w:spacing w:before="120" w:line="240" w:lineRule="auto"/>
        <w:ind w:left="0" w:firstLine="0"/>
        <w:rPr>
          <w:rFonts w:ascii="Times New Roman" w:hAnsi="Times New Roman"/>
          <w:lang w:val="ru-RU"/>
        </w:rPr>
      </w:pPr>
      <w:r w:rsidRPr="00BF4E0A">
        <w:rPr>
          <w:rFonts w:ascii="Times New Roman" w:hAnsi="Times New Roman"/>
        </w:rPr>
        <w:t xml:space="preserve">Нивото на заетостта и на безработицата в страната, както и високият номинален ръст на средната работна заплата през третото тримесечие на 2023 г. са едни от основните фактори за нарастването на данъчните приходи от трудови правоотношения. </w:t>
      </w:r>
    </w:p>
    <w:p w14:paraId="2DF61E6E" w14:textId="77777777" w:rsidR="00BF4E0A" w:rsidRPr="00BF4E0A" w:rsidRDefault="00BF4E0A" w:rsidP="00BF4E0A">
      <w:pPr>
        <w:pStyle w:val="ListParagraph"/>
        <w:spacing w:before="240" w:line="240" w:lineRule="auto"/>
        <w:ind w:left="0" w:firstLine="0"/>
        <w:contextualSpacing w:val="0"/>
        <w:rPr>
          <w:rFonts w:ascii="Times New Roman" w:hAnsi="Times New Roman"/>
        </w:rPr>
      </w:pPr>
      <w:r w:rsidRPr="00BF4E0A">
        <w:rPr>
          <w:rFonts w:ascii="Times New Roman" w:hAnsi="Times New Roman"/>
        </w:rPr>
        <w:t xml:space="preserve">Допълнително влияние за нарастване на данъчните постъпления оказва и приетото от правителството увеличение от 1 януари 2023 г. на минималната работна заплата за страната от 710 лв. на 780 лв. (9,9 %), както и увеличението на разходите за персонал в някои от бюджетните системи.    </w:t>
      </w:r>
    </w:p>
    <w:p w14:paraId="55FA2F36" w14:textId="77777777" w:rsidR="00BF4E0A" w:rsidRPr="008E283F" w:rsidRDefault="00BF4E0A" w:rsidP="00BF4E0A">
      <w:pPr>
        <w:spacing w:before="120" w:after="120"/>
        <w:jc w:val="both"/>
      </w:pPr>
      <w:r w:rsidRPr="00004AC6">
        <w:t>Ползването на облекченията за деца по чл. 22в и чл. 22г от ЗДДФЛ чрез подаване на декларация по образец при работодателя през месец декември 2022 г. и чрез подаване на годишната данъчна декларация за доходите, придобити през 2022 г., както и авансовото ползване при работодател за придобитите доходи през 2023 година, оказва въздействие в посока намаление върху приходите от трудови правоотношения през отчетната година.</w:t>
      </w:r>
    </w:p>
    <w:p w14:paraId="79F20EDE" w14:textId="77777777" w:rsidR="00BF4E0A" w:rsidRPr="000234CA" w:rsidRDefault="00BF4E0A" w:rsidP="00BF4E0A">
      <w:pPr>
        <w:spacing w:after="120"/>
        <w:jc w:val="both"/>
        <w:rPr>
          <w:highlight w:val="cyan"/>
        </w:rPr>
      </w:pPr>
      <w:r w:rsidRPr="00227BEA">
        <w:rPr>
          <w:i/>
        </w:rPr>
        <w:t>По извънтрудови правоотношения (свободни професии, граждански договори, еднолични търговци и др.)</w:t>
      </w:r>
      <w:r w:rsidRPr="00227BEA">
        <w:t xml:space="preserve"> приходите от данъка </w:t>
      </w:r>
      <w:r w:rsidRPr="00227BEA">
        <w:rPr>
          <w:bCs/>
        </w:rPr>
        <w:t>към декември 2023</w:t>
      </w:r>
      <w:r w:rsidRPr="00227BEA">
        <w:t xml:space="preserve"> г. са в размер на 464,9 млн. лв., което е 97,6 % от годишния разчет. За отчетния период са постъпили с 5,2 млн. лв. (1,1 %) повече приходи спрямо </w:t>
      </w:r>
      <w:r w:rsidRPr="00E5056F">
        <w:t>2022 година.</w:t>
      </w:r>
      <w:r w:rsidRPr="00E5056F">
        <w:rPr>
          <w:lang w:val="ru-RU"/>
        </w:rPr>
        <w:t xml:space="preserve"> </w:t>
      </w:r>
      <w:r w:rsidRPr="00E5056F">
        <w:t>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r w:rsidRPr="00E5056F">
        <w:rPr>
          <w:lang w:val="ru-RU"/>
        </w:rPr>
        <w:t xml:space="preserve"> </w:t>
      </w:r>
      <w:r w:rsidRPr="00E5056F">
        <w:t>Влияние върху приходите от тази група данъци за отчетния период оказва и ползването на данъчните облекчения за деца по чл. 22в и чл. 22г от ЗДДФЛ в увеличен размер за доходите, придобити през 2022 и 2023 година</w:t>
      </w:r>
      <w:r w:rsidRPr="00E5056F">
        <w:rPr>
          <w:lang w:val="ru-RU"/>
        </w:rPr>
        <w:t>.</w:t>
      </w:r>
    </w:p>
    <w:p w14:paraId="56315C33" w14:textId="77777777" w:rsidR="00BF4E0A" w:rsidRPr="004E305C" w:rsidRDefault="00BF4E0A" w:rsidP="00BF4E0A">
      <w:pPr>
        <w:spacing w:after="120"/>
        <w:jc w:val="both"/>
      </w:pPr>
      <w:r w:rsidRPr="005D01A3">
        <w:rPr>
          <w:i/>
        </w:rPr>
        <w:t xml:space="preserve">Окончателен данък на местните и чуждестранни физически лица по чл. 37 и 38 от ЗДДФЛ </w:t>
      </w:r>
      <w:r w:rsidRPr="005D01A3">
        <w:t xml:space="preserve">и </w:t>
      </w:r>
      <w:r w:rsidRPr="004467C2">
        <w:rPr>
          <w:i/>
        </w:rPr>
        <w:t>данък върху дивидентите и ликвидационните дялове на физически лица</w:t>
      </w:r>
      <w:r w:rsidRPr="004467C2">
        <w:t xml:space="preserve"> - постъпленията от тези данъци са в размер на 675,1 млн. лв., 131,4 % спрямо годишния разчет. За отчетния период </w:t>
      </w:r>
      <w:r w:rsidRPr="00096274">
        <w:t>са постъпили със 176,0 млн. лв. (35,3 %) повече приходи спрямо предходната година. Ръстът на тази група данъци се дължи на по-високите приходи от данък върху дивидентите и ликвидационните дялове на физически лица (37,</w:t>
      </w:r>
      <w:r w:rsidRPr="008F08F1">
        <w:rPr>
          <w:lang w:val="ru-RU"/>
        </w:rPr>
        <w:t>8</w:t>
      </w:r>
      <w:r w:rsidRPr="00096274">
        <w:t xml:space="preserve"> %), които са резултат, както от отчетените по-добри финансови резултати от нефинансовите предприятия през 2022 г., така и от предприетите законодателни и контролни </w:t>
      </w:r>
      <w:r w:rsidRPr="005A19E8">
        <w:t>мерки. Влияние върху изпълнението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от 2022 г. за проверка на касови н</w:t>
      </w:r>
      <w:r w:rsidRPr="002715E4">
        <w:t>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или до наличието на скрито разпределение на печалбата по смисъла на § 1, т. 5 от Допълнителните разпоредби на ЗКПО. Скритото разпределение на печалбата се третира като дивидент, за който се внася 5 % данък върху разпределените суми. От 1.09.2023</w:t>
      </w:r>
      <w:r w:rsidRPr="002715E4">
        <w:rPr>
          <w:lang w:val="en-US"/>
        </w:rPr>
        <w:t> </w:t>
      </w:r>
      <w:r w:rsidRPr="002715E4">
        <w:t>г. в Закона за ограничаване на плащанията е приета разпоредба плащанията на територията на страната на дивиденти, със стойност равна на или надвишаваща 1000 лв., да се извършват само чрез превод или внасяне по платежна сметка, в резултат на което се очаква постъпленията от данъка върху дивидентите да нараснат.</w:t>
      </w:r>
    </w:p>
    <w:p w14:paraId="3EAAEC9D" w14:textId="77777777" w:rsidR="00BF4E0A" w:rsidRPr="005E3056" w:rsidRDefault="00BF4E0A" w:rsidP="00BF4E0A">
      <w:pPr>
        <w:spacing w:after="120"/>
        <w:jc w:val="both"/>
      </w:pPr>
      <w:r w:rsidRPr="005E3056">
        <w:t>Постъпленията</w:t>
      </w:r>
      <w:r w:rsidRPr="005E3056">
        <w:rPr>
          <w:i/>
        </w:rPr>
        <w:t xml:space="preserve"> </w:t>
      </w:r>
      <w:r w:rsidRPr="005E3056">
        <w:t xml:space="preserve">от </w:t>
      </w:r>
      <w:r w:rsidRPr="005E3056">
        <w:rPr>
          <w:i/>
        </w:rPr>
        <w:t xml:space="preserve">окончателния данък върху доходите от лихви по банкови сметки на местните физически лица </w:t>
      </w:r>
      <w:r w:rsidRPr="005E3056">
        <w:t xml:space="preserve">към 31.12.2023 г. са в размер на 0,1 млн. лв. </w:t>
      </w:r>
      <w:r w:rsidRPr="008F08F1">
        <w:rPr>
          <w:lang w:val="ru-RU"/>
        </w:rPr>
        <w:t>(</w:t>
      </w:r>
      <w:r w:rsidRPr="005E3056">
        <w:t>съгласно изменения в ЗДДФЛ данъкът върху доходите от лихви по банкови сметки е отменен, считано от 01.04.2022 година</w:t>
      </w:r>
      <w:r w:rsidRPr="008F08F1">
        <w:rPr>
          <w:lang w:val="ru-RU"/>
        </w:rPr>
        <w:t>)</w:t>
      </w:r>
      <w:r w:rsidRPr="005E3056">
        <w:t>.</w:t>
      </w:r>
    </w:p>
    <w:p w14:paraId="3E4425F1" w14:textId="77777777" w:rsidR="00BF4E0A" w:rsidRPr="002A70FB" w:rsidRDefault="00BF4E0A" w:rsidP="00BF4E0A">
      <w:pPr>
        <w:numPr>
          <w:ilvl w:val="0"/>
          <w:numId w:val="4"/>
        </w:numPr>
        <w:tabs>
          <w:tab w:val="clear" w:pos="1440"/>
          <w:tab w:val="num" w:pos="540"/>
        </w:tabs>
        <w:ind w:left="0" w:firstLine="180"/>
        <w:jc w:val="both"/>
        <w:rPr>
          <w:b/>
          <w:bCs/>
        </w:rPr>
      </w:pPr>
      <w:r w:rsidRPr="002A70FB">
        <w:rPr>
          <w:b/>
          <w:bCs/>
        </w:rPr>
        <w:t>Косвени данъци</w:t>
      </w:r>
    </w:p>
    <w:p w14:paraId="57705F66" w14:textId="77777777" w:rsidR="00BF4E0A" w:rsidRPr="001050E8" w:rsidRDefault="00BF4E0A" w:rsidP="00BF4E0A">
      <w:pPr>
        <w:jc w:val="both"/>
        <w:rPr>
          <w:b/>
          <w:bCs/>
          <w:color w:val="0070C0"/>
          <w:sz w:val="4"/>
          <w:szCs w:val="4"/>
        </w:rPr>
      </w:pPr>
    </w:p>
    <w:p w14:paraId="0D08A586" w14:textId="2439D00A" w:rsidR="00BF4E0A" w:rsidRPr="001050E8" w:rsidRDefault="00BF4E0A" w:rsidP="00BF4E0A">
      <w:pPr>
        <w:spacing w:after="120"/>
        <w:jc w:val="both"/>
        <w:rPr>
          <w:color w:val="0070C0"/>
        </w:rPr>
      </w:pPr>
      <w:r w:rsidRPr="00833EE6">
        <w:t xml:space="preserve">Приходите от </w:t>
      </w:r>
      <w:r w:rsidRPr="00833EE6">
        <w:rPr>
          <w:b/>
        </w:rPr>
        <w:t>косвени данъци</w:t>
      </w:r>
      <w:r w:rsidRPr="00833EE6">
        <w:t xml:space="preserve"> </w:t>
      </w:r>
      <w:r>
        <w:rPr>
          <w:bCs/>
        </w:rPr>
        <w:t>за</w:t>
      </w:r>
      <w:r w:rsidRPr="00833EE6">
        <w:rPr>
          <w:bCs/>
        </w:rPr>
        <w:t xml:space="preserve"> 2023</w:t>
      </w:r>
      <w:r w:rsidRPr="00833EE6">
        <w:t xml:space="preserve"> г. са в размер на</w:t>
      </w:r>
      <w:r w:rsidRPr="00833EE6">
        <w:rPr>
          <w:b/>
        </w:rPr>
        <w:t xml:space="preserve"> </w:t>
      </w:r>
      <w:r w:rsidRPr="008F08F1">
        <w:rPr>
          <w:b/>
          <w:lang w:val="ru-RU"/>
        </w:rPr>
        <w:t>22</w:t>
      </w:r>
      <w:r w:rsidRPr="00833EE6">
        <w:rPr>
          <w:b/>
          <w:lang w:val="en-US"/>
        </w:rPr>
        <w:t> </w:t>
      </w:r>
      <w:r w:rsidRPr="008F08F1">
        <w:rPr>
          <w:b/>
          <w:lang w:val="ru-RU"/>
        </w:rPr>
        <w:t>755</w:t>
      </w:r>
      <w:r w:rsidRPr="00833EE6">
        <w:rPr>
          <w:b/>
        </w:rPr>
        <w:t>,8 млн. лв</w:t>
      </w:r>
      <w:r w:rsidRPr="00833EE6">
        <w:t xml:space="preserve">. или 97,2 % от годишния разчет. Сравнени с данните за предходната година постъпленията </w:t>
      </w:r>
      <w:r w:rsidRPr="00833EE6">
        <w:rPr>
          <w:bCs/>
        </w:rPr>
        <w:t>нарастват</w:t>
      </w:r>
      <w:r w:rsidRPr="00833EE6">
        <w:t xml:space="preserve"> с 1 214,3 млн. лв. </w:t>
      </w:r>
      <w:r w:rsidRPr="00833EE6">
        <w:rPr>
          <w:lang w:val="ru-RU"/>
        </w:rPr>
        <w:t>(</w:t>
      </w:r>
      <w:r w:rsidRPr="00833EE6">
        <w:t>5,6</w:t>
      </w:r>
      <w:r w:rsidR="00790D24">
        <w:t> </w:t>
      </w:r>
      <w:r w:rsidRPr="00833EE6">
        <w:t>%</w:t>
      </w:r>
      <w:r w:rsidRPr="00833EE6">
        <w:rPr>
          <w:lang w:val="ru-RU"/>
        </w:rPr>
        <w:t xml:space="preserve">). </w:t>
      </w:r>
    </w:p>
    <w:p w14:paraId="1FC2B483" w14:textId="77777777" w:rsidR="00BF4E0A" w:rsidRPr="002C350D" w:rsidRDefault="00BF4E0A" w:rsidP="00BF4E0A">
      <w:pPr>
        <w:spacing w:after="120"/>
        <w:jc w:val="both"/>
      </w:pPr>
      <w:r w:rsidRPr="00C01B4C">
        <w:rPr>
          <w:b/>
        </w:rPr>
        <w:t>Приходите от ДДС</w:t>
      </w:r>
      <w:r w:rsidRPr="00C01B4C">
        <w:t xml:space="preserve"> са в размер на </w:t>
      </w:r>
      <w:r w:rsidRPr="00C01B4C">
        <w:rPr>
          <w:b/>
        </w:rPr>
        <w:t>16 225,8</w:t>
      </w:r>
      <w:r w:rsidRPr="00C01B4C">
        <w:t xml:space="preserve"> </w:t>
      </w:r>
      <w:r w:rsidRPr="00C01B4C">
        <w:rPr>
          <w:b/>
        </w:rPr>
        <w:t>млн. лв.</w:t>
      </w:r>
      <w:r w:rsidRPr="00C01B4C">
        <w:t xml:space="preserve">, което представлява 95,4 % от планираните със ЗДБРБ за 2023 година. Съпоставени с 2022 г., приходите от ДДС нарастват с 894,4 млн. лв. </w:t>
      </w:r>
      <w:r w:rsidRPr="00C01B4C">
        <w:rPr>
          <w:lang w:val="ru-RU"/>
        </w:rPr>
        <w:t>(</w:t>
      </w:r>
      <w:r w:rsidRPr="00C01B4C">
        <w:t>5,8 %</w:t>
      </w:r>
      <w:r w:rsidRPr="00C01B4C">
        <w:rPr>
          <w:lang w:val="ru-RU"/>
        </w:rPr>
        <w:t>)</w:t>
      </w:r>
      <w:r w:rsidRPr="00C01B4C">
        <w:t xml:space="preserve">, в резултат на по-високите приходи от ДДС от сделки </w:t>
      </w:r>
      <w:r w:rsidRPr="002C350D">
        <w:t xml:space="preserve">в страната и вътреобщностни придобивания.  </w:t>
      </w:r>
    </w:p>
    <w:p w14:paraId="0B93CD3A" w14:textId="7A20186F" w:rsidR="00BF4E0A" w:rsidRPr="00AD3D4D" w:rsidRDefault="00BF4E0A" w:rsidP="00BF4E0A">
      <w:pPr>
        <w:spacing w:before="120"/>
        <w:ind w:right="-29"/>
        <w:jc w:val="both"/>
        <w:rPr>
          <w:color w:val="0070C0"/>
        </w:rPr>
      </w:pPr>
      <w:r w:rsidRPr="002C350D">
        <w:t xml:space="preserve">Нетният размер на приходите от </w:t>
      </w:r>
      <w:r w:rsidRPr="002C350D">
        <w:rPr>
          <w:i/>
        </w:rPr>
        <w:t>ДДС от внос</w:t>
      </w:r>
      <w:r w:rsidRPr="002C350D">
        <w:t xml:space="preserve"> </w:t>
      </w:r>
      <w:r w:rsidRPr="002C350D">
        <w:rPr>
          <w:bCs/>
        </w:rPr>
        <w:t>към декември 2023</w:t>
      </w:r>
      <w:r w:rsidRPr="002C350D">
        <w:t xml:space="preserve"> г. е 6 021,6 млн. лв., като </w:t>
      </w:r>
      <w:r w:rsidRPr="00222EC3">
        <w:t>намаляват с 16,8 % (1 212,2 млн. лв.) спрямо предходната година и представлява 88,6 % от</w:t>
      </w:r>
      <w:r>
        <w:t xml:space="preserve"> годишните разчети за 2023 г</w:t>
      </w:r>
      <w:r w:rsidRPr="00246402">
        <w:t>. Влияние върху динамиката на приходите от ДДС при внос през периода оказват и средните борсови цени (в долари) на суровините, които формират основна част от вноса от трети страни.</w:t>
      </w:r>
      <w:r w:rsidRPr="007E2603">
        <w:t xml:space="preserve"> </w:t>
      </w:r>
      <w:r w:rsidRPr="00800362">
        <w:t xml:space="preserve">Разглеждайки декларирания ДДС при внос по групи стоки, съобразно Класификатора на широките </w:t>
      </w:r>
      <w:r w:rsidRPr="00AA7546">
        <w:t>икономически категории (</w:t>
      </w:r>
      <w:r w:rsidRPr="00AA7546">
        <w:rPr>
          <w:lang w:val="en-US"/>
        </w:rPr>
        <w:t>BEC</w:t>
      </w:r>
      <w:r w:rsidRPr="00AA7546">
        <w:t xml:space="preserve">), през 2023 г. се наблюдава понижение при всички групи стоки. Върху постъпленията от ДДС от внос влияние оказва и възможността </w:t>
      </w:r>
      <w:r w:rsidRPr="00AA7546">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AA7546">
        <w:rPr>
          <w:iCs/>
          <w:color w:val="0070C0"/>
        </w:rPr>
        <w:t>.</w:t>
      </w:r>
      <w:r w:rsidRPr="001050E8">
        <w:rPr>
          <w:bCs/>
          <w:color w:val="0070C0"/>
        </w:rPr>
        <w:t xml:space="preserve"> </w:t>
      </w:r>
      <w:r w:rsidRPr="007E2603">
        <w:t xml:space="preserve">Ефектът от прилагането на този режим към края на месец декември 2023 г. </w:t>
      </w:r>
      <w:r w:rsidRPr="007E2603">
        <w:rPr>
          <w:bCs/>
        </w:rPr>
        <w:t xml:space="preserve">е неначислен ДДС при внос в размер </w:t>
      </w:r>
      <w:r w:rsidRPr="009A2DDF">
        <w:rPr>
          <w:bCs/>
        </w:rPr>
        <w:t>на 1 340,7 млн. лв., което е с 340,9 млн. лв. по-малко спрямо 2022 г., като се регистрира спад от 20,3 %</w:t>
      </w:r>
      <w:r w:rsidRPr="009A2DDF">
        <w:t xml:space="preserve">. </w:t>
      </w:r>
      <w:r w:rsidRPr="009A2DDF">
        <w:rPr>
          <w:bCs/>
        </w:rPr>
        <w:t>С най-значителен дял</w:t>
      </w:r>
      <w:r>
        <w:rPr>
          <w:bCs/>
        </w:rPr>
        <w:t>,</w:t>
      </w:r>
      <w:r w:rsidRPr="009A2DDF">
        <w:rPr>
          <w:bCs/>
        </w:rPr>
        <w:t xml:space="preserve"> според размера на неначисления ДДС при внос през 2023</w:t>
      </w:r>
      <w:r w:rsidR="00446D67">
        <w:rPr>
          <w:bCs/>
        </w:rPr>
        <w:t> </w:t>
      </w:r>
      <w:r w:rsidRPr="009A2DDF">
        <w:rPr>
          <w:bCs/>
        </w:rPr>
        <w:t>г.</w:t>
      </w:r>
      <w:r>
        <w:rPr>
          <w:bCs/>
        </w:rPr>
        <w:t>,</w:t>
      </w:r>
      <w:r w:rsidRPr="009A2DDF">
        <w:rPr>
          <w:bCs/>
        </w:rPr>
        <w:t xml:space="preserve"> се открояват следните три групи стоки: руди, шлаки и пепели – 777,5 млн. лв. (намаление със 161,9</w:t>
      </w:r>
      <w:r w:rsidR="00446D67">
        <w:rPr>
          <w:bCs/>
        </w:rPr>
        <w:t> </w:t>
      </w:r>
      <w:r w:rsidRPr="009A2DDF">
        <w:rPr>
          <w:bCs/>
        </w:rPr>
        <w:t>млн. лв., 17,2 %), мед и изделия от мед – 244,4 млн. лв. (намаление с 9,3 млн. лв., 3,6 %) и чугун, желязо и стомана – 138,3 млн. лв. (намаление с 66,0 млн. лв., 32,</w:t>
      </w:r>
      <w:r w:rsidRPr="00AD3D4D">
        <w:rPr>
          <w:bCs/>
        </w:rPr>
        <w:t>3 %).</w:t>
      </w:r>
      <w:r w:rsidRPr="00AD3D4D">
        <w:t xml:space="preserve"> </w:t>
      </w:r>
    </w:p>
    <w:p w14:paraId="4034D00F" w14:textId="77777777" w:rsidR="00BF4E0A" w:rsidRPr="007E2603" w:rsidRDefault="00BF4E0A" w:rsidP="00BF4E0A">
      <w:pPr>
        <w:spacing w:before="120"/>
        <w:jc w:val="both"/>
        <w:rPr>
          <w:bCs/>
        </w:rPr>
      </w:pPr>
      <w:r w:rsidRPr="00AD3D4D">
        <w:t>Постъпленията от</w:t>
      </w:r>
      <w:r w:rsidRPr="00AD3D4D">
        <w:rPr>
          <w:i/>
        </w:rPr>
        <w:t xml:space="preserve"> ДДС при сделки в страната</w:t>
      </w:r>
      <w:r w:rsidRPr="00AD3D4D">
        <w:rPr>
          <w:i/>
          <w:lang w:val="ru-RU"/>
        </w:rPr>
        <w:t xml:space="preserve"> </w:t>
      </w:r>
      <w:r w:rsidRPr="00AD3D4D">
        <w:rPr>
          <w:i/>
        </w:rPr>
        <w:t>и ВОП (нето)</w:t>
      </w:r>
      <w:r w:rsidRPr="00AD3D4D">
        <w:t xml:space="preserve"> </w:t>
      </w:r>
      <w:r w:rsidRPr="00AD3D4D">
        <w:rPr>
          <w:bCs/>
        </w:rPr>
        <w:t>към декември 2023</w:t>
      </w:r>
      <w:r w:rsidRPr="00AD3D4D">
        <w:t xml:space="preserve"> г. възлизат на 10 204,2 млн. лв. или изпълнение 100% на годишния разчет. Сравнени с данните за предходната година постъпленията </w:t>
      </w:r>
      <w:r w:rsidRPr="00AD3D4D">
        <w:rPr>
          <w:bCs/>
        </w:rPr>
        <w:t>нарастват с 26,0 %</w:t>
      </w:r>
      <w:r w:rsidRPr="007E2603">
        <w:rPr>
          <w:bCs/>
        </w:rPr>
        <w:t xml:space="preserve"> </w:t>
      </w:r>
      <w:r w:rsidRPr="007E2603">
        <w:rPr>
          <w:bCs/>
          <w:lang w:val="ru-RU"/>
        </w:rPr>
        <w:t>(2 106,6 млн. лв.)</w:t>
      </w:r>
      <w:r w:rsidRPr="007E2603">
        <w:rPr>
          <w:bCs/>
        </w:rPr>
        <w:t xml:space="preserve">. </w:t>
      </w:r>
    </w:p>
    <w:p w14:paraId="451EACCF" w14:textId="77777777" w:rsidR="00BF4E0A" w:rsidRPr="001050E8" w:rsidRDefault="00BF4E0A" w:rsidP="00BF4E0A">
      <w:pPr>
        <w:spacing w:before="120"/>
        <w:jc w:val="both"/>
        <w:rPr>
          <w:bCs/>
          <w:color w:val="0070C0"/>
        </w:rPr>
      </w:pPr>
      <w:r w:rsidRPr="00ED1E2E">
        <w:t>Ефективно внесеният ДДС по сметките на НАП</w:t>
      </w:r>
      <w:r w:rsidRPr="00ED1E2E">
        <w:rPr>
          <w:i/>
        </w:rPr>
        <w:t xml:space="preserve"> </w:t>
      </w:r>
      <w:r w:rsidRPr="00ED1E2E">
        <w:t>се</w:t>
      </w:r>
      <w:r w:rsidRPr="00ED1E2E">
        <w:rPr>
          <w:i/>
        </w:rPr>
        <w:t xml:space="preserve"> </w:t>
      </w:r>
      <w:r w:rsidRPr="00ED1E2E">
        <w:t xml:space="preserve">формира от данък по справки-декларации от сделки в страната и ВОП и допълнително внесени суми, разкрити с данъчно-ревизионни актове при ревизии. За 2023 г. ефективно внесеният ДДС от сделки в страната и ВОП възлиза на 20 602,6 млн. лв. и спрямо предходната година се увеличава с 908,1 млн. лв. (4,6 %). От тях по ревизионни актове са постъпили 265,7 млн. лв. или със 17,3 млн. лв. (7,0 %) повече от отчета за 2022 </w:t>
      </w:r>
      <w:r w:rsidRPr="00342735">
        <w:t xml:space="preserve">година. Декларираният ДДС за възстановяване зависи от размера на износа и извършените инвестиции. Регистрираните лица по ДДС упражняват право на данъчен кредит чрез приспадане по реда на чл. 92, ал. 1 от ЗДДС или чрез ефективно възстановяване от данъчната администрация след определения </w:t>
      </w:r>
      <w:r w:rsidRPr="001B2C3B">
        <w:t>срок. Приспаднатият данък за 2023 г. е 928,8 млн. лв. и е с 51,9 млн. лв</w:t>
      </w:r>
      <w:r w:rsidRPr="003109A8">
        <w:t>. (5,3 %) по-малко спрямо 2022 г. Възстановеният данък възлиза на 10 398,4 млн. лв., като намалява с 1 198,5 млн. лв. (10,3 %) на годишна база. Дължимите суми, подлежащи на възстановяване</w:t>
      </w:r>
      <w:r w:rsidRPr="003109A8" w:rsidDel="0052072D">
        <w:rPr>
          <w:bCs/>
        </w:rPr>
        <w:t xml:space="preserve"> </w:t>
      </w:r>
      <w:r w:rsidRPr="003109A8">
        <w:rPr>
          <w:bCs/>
        </w:rPr>
        <w:t xml:space="preserve">към 31.12.2023 г. са в размер на </w:t>
      </w:r>
      <w:r w:rsidRPr="008F08F1">
        <w:rPr>
          <w:bCs/>
          <w:lang w:val="ru-RU"/>
        </w:rPr>
        <w:t>77</w:t>
      </w:r>
      <w:r w:rsidRPr="003109A8">
        <w:rPr>
          <w:bCs/>
        </w:rPr>
        <w:t>,3 млн. лева.</w:t>
      </w:r>
    </w:p>
    <w:p w14:paraId="44D8677A" w14:textId="77777777" w:rsidR="00BF4E0A" w:rsidRPr="00E20683" w:rsidRDefault="00BF4E0A" w:rsidP="00BF4E0A">
      <w:pPr>
        <w:spacing w:before="120" w:after="120"/>
        <w:jc w:val="both"/>
      </w:pPr>
      <w:r w:rsidRPr="009D770C">
        <w:rPr>
          <w:b/>
        </w:rPr>
        <w:t xml:space="preserve">Приходите от акцизи (нето) </w:t>
      </w:r>
      <w:r w:rsidRPr="009D770C">
        <w:t xml:space="preserve">от внос, вътрешно производство и въведени в страната от други държави-членки на ЕС акцизни стоки са в размер на </w:t>
      </w:r>
      <w:r w:rsidRPr="009D770C">
        <w:rPr>
          <w:b/>
        </w:rPr>
        <w:t>6 148,0 млн. лв</w:t>
      </w:r>
      <w:r w:rsidRPr="009D770C">
        <w:t xml:space="preserve">., което е 103,5 % спрямо планираните със ЗДБРБ за 2023 г. Съпоставени с предходната година приходите от акцизи </w:t>
      </w:r>
      <w:r w:rsidRPr="00E20683">
        <w:t>нарастват номинално с 441,1 млн. лв. (7,7 %).</w:t>
      </w:r>
    </w:p>
    <w:p w14:paraId="3D068AD6" w14:textId="77777777" w:rsidR="00BF4E0A" w:rsidRPr="00766262" w:rsidRDefault="00BF4E0A" w:rsidP="00BF4E0A">
      <w:pPr>
        <w:spacing w:before="120" w:after="120"/>
        <w:jc w:val="both"/>
      </w:pPr>
      <w:r w:rsidRPr="00766262">
        <w:t>Относителният дял на нетните постъпления от акциз по стокови групи е от: тютюн и тютюневи изделия (54,4 %); горива (39,5 %); алкохол и алкохолни напитки, вкл. бира (5,3 %) и други акцизни стоки (0,7 %). Постъпленията от акциз към декември 2023 г. по основни стокови групи, са както следва:</w:t>
      </w:r>
    </w:p>
    <w:p w14:paraId="3F091393" w14:textId="77777777" w:rsidR="00BF4E0A" w:rsidRPr="00136203" w:rsidRDefault="00BF4E0A" w:rsidP="00BF4E0A">
      <w:pPr>
        <w:numPr>
          <w:ilvl w:val="0"/>
          <w:numId w:val="16"/>
        </w:numPr>
        <w:ind w:firstLine="66"/>
        <w:jc w:val="both"/>
        <w:rPr>
          <w:i/>
        </w:rPr>
      </w:pPr>
      <w:r w:rsidRPr="00136203">
        <w:rPr>
          <w:i/>
        </w:rPr>
        <w:t xml:space="preserve">акцизите от тютюн и тютюневи изделия </w:t>
      </w:r>
      <w:r w:rsidRPr="00136203">
        <w:t>възлизат на</w:t>
      </w:r>
      <w:r w:rsidRPr="00136203">
        <w:rPr>
          <w:i/>
        </w:rPr>
        <w:t xml:space="preserve"> </w:t>
      </w:r>
      <w:r w:rsidRPr="00136203">
        <w:t>3 345,0 млн. лева</w:t>
      </w:r>
      <w:r w:rsidRPr="00136203">
        <w:rPr>
          <w:i/>
        </w:rPr>
        <w:t xml:space="preserve">; </w:t>
      </w:r>
    </w:p>
    <w:p w14:paraId="5A40D474" w14:textId="77777777" w:rsidR="00BF4E0A" w:rsidRPr="00136203" w:rsidRDefault="00BF4E0A" w:rsidP="00BF4E0A">
      <w:pPr>
        <w:numPr>
          <w:ilvl w:val="0"/>
          <w:numId w:val="16"/>
        </w:numPr>
        <w:ind w:firstLine="66"/>
        <w:jc w:val="both"/>
      </w:pPr>
      <w:r w:rsidRPr="00136203">
        <w:rPr>
          <w:i/>
        </w:rPr>
        <w:t>акцизите от горива</w:t>
      </w:r>
      <w:r w:rsidRPr="00136203">
        <w:t xml:space="preserve"> са в размер на 2 430,8 млн. лева; </w:t>
      </w:r>
    </w:p>
    <w:p w14:paraId="04234F1E" w14:textId="77777777" w:rsidR="00BF4E0A" w:rsidRPr="00136203" w:rsidRDefault="00BF4E0A" w:rsidP="00BF4E0A">
      <w:pPr>
        <w:numPr>
          <w:ilvl w:val="0"/>
          <w:numId w:val="16"/>
        </w:numPr>
        <w:ind w:firstLine="66"/>
        <w:jc w:val="both"/>
      </w:pPr>
      <w:r w:rsidRPr="00136203">
        <w:rPr>
          <w:i/>
        </w:rPr>
        <w:t xml:space="preserve">акцизите от алкохол и алкохолни напитки (вкл. бира) </w:t>
      </w:r>
      <w:r w:rsidRPr="00136203">
        <w:t xml:space="preserve">възлизат на 327,7 млн. лева; </w:t>
      </w:r>
    </w:p>
    <w:p w14:paraId="599EF7BB" w14:textId="77777777" w:rsidR="00BF4E0A" w:rsidRPr="00136203" w:rsidRDefault="00BF4E0A" w:rsidP="00BF4E0A">
      <w:pPr>
        <w:numPr>
          <w:ilvl w:val="0"/>
          <w:numId w:val="16"/>
        </w:numPr>
        <w:ind w:firstLine="66"/>
        <w:jc w:val="both"/>
      </w:pPr>
      <w:r w:rsidRPr="00136203">
        <w:rPr>
          <w:i/>
        </w:rPr>
        <w:t xml:space="preserve">приходите от ел. енергия и др. акцизни стоки </w:t>
      </w:r>
      <w:r w:rsidRPr="00136203">
        <w:t>възлизат на 44,5 млн. лева.</w:t>
      </w:r>
    </w:p>
    <w:p w14:paraId="4292A5DD" w14:textId="77777777" w:rsidR="00BF4E0A" w:rsidRPr="001050E8" w:rsidRDefault="00BF4E0A" w:rsidP="00BF4E0A">
      <w:pPr>
        <w:ind w:left="360"/>
        <w:jc w:val="both"/>
        <w:rPr>
          <w:color w:val="0070C0"/>
          <w:sz w:val="8"/>
          <w:szCs w:val="8"/>
        </w:rPr>
      </w:pPr>
    </w:p>
    <w:p w14:paraId="0EF1DC77" w14:textId="77777777" w:rsidR="00BF4E0A" w:rsidRPr="001050E8" w:rsidRDefault="00BF4E0A" w:rsidP="00BF4E0A">
      <w:pPr>
        <w:ind w:left="360"/>
        <w:jc w:val="both"/>
        <w:rPr>
          <w:color w:val="0070C0"/>
          <w:sz w:val="8"/>
          <w:szCs w:val="8"/>
        </w:rPr>
      </w:pPr>
    </w:p>
    <w:p w14:paraId="6FA37826" w14:textId="77777777" w:rsidR="00BF4E0A" w:rsidRPr="001050E8" w:rsidRDefault="00BF4E0A" w:rsidP="00BF4E0A">
      <w:pPr>
        <w:ind w:left="360"/>
        <w:jc w:val="both"/>
        <w:rPr>
          <w:color w:val="0070C0"/>
          <w:sz w:val="8"/>
          <w:szCs w:val="8"/>
        </w:rPr>
      </w:pPr>
    </w:p>
    <w:p w14:paraId="6D454F79" w14:textId="77777777" w:rsidR="00BF4E0A" w:rsidRPr="008D4D92" w:rsidRDefault="00BF4E0A" w:rsidP="00BF4E0A">
      <w:pPr>
        <w:spacing w:after="120"/>
        <w:jc w:val="both"/>
      </w:pPr>
      <w:r w:rsidRPr="008D4D92">
        <w:rPr>
          <w:b/>
        </w:rPr>
        <w:t>Приходите от данък върху застрахователните премии</w:t>
      </w:r>
      <w:r w:rsidRPr="008D4D92">
        <w:t xml:space="preserve"> са в размер на </w:t>
      </w:r>
      <w:r w:rsidRPr="008D4D92">
        <w:rPr>
          <w:b/>
        </w:rPr>
        <w:t>59,4 млн. лв</w:t>
      </w:r>
      <w:r w:rsidRPr="008D4D92">
        <w:t>., при планирани за годината 57,5 млн. лева.</w:t>
      </w:r>
    </w:p>
    <w:p w14:paraId="1706D6F6" w14:textId="57921587" w:rsidR="00BF4E0A" w:rsidRPr="00002A5E" w:rsidRDefault="00BF4E0A" w:rsidP="00BF4E0A">
      <w:pPr>
        <w:autoSpaceDE w:val="0"/>
        <w:autoSpaceDN w:val="0"/>
        <w:adjustRightInd w:val="0"/>
        <w:spacing w:after="120"/>
        <w:jc w:val="both"/>
        <w:rPr>
          <w:rFonts w:eastAsia="Batang"/>
          <w:bCs/>
        </w:rPr>
      </w:pPr>
      <w:r w:rsidRPr="001B7EEA">
        <w:rPr>
          <w:b/>
        </w:rPr>
        <w:t>Постъпленията от</w:t>
      </w:r>
      <w:r w:rsidRPr="001B7EEA">
        <w:t xml:space="preserve"> </w:t>
      </w:r>
      <w:r w:rsidRPr="001B7EEA">
        <w:rPr>
          <w:b/>
          <w:bCs/>
        </w:rPr>
        <w:t xml:space="preserve">мита </w:t>
      </w:r>
      <w:r w:rsidRPr="001B7EEA">
        <w:t xml:space="preserve">възлизат на </w:t>
      </w:r>
      <w:r w:rsidRPr="001B7EEA">
        <w:rPr>
          <w:b/>
        </w:rPr>
        <w:t>322,7 млн. лв</w:t>
      </w:r>
      <w:r w:rsidRPr="001B7EEA">
        <w:t xml:space="preserve">. или 79,7 % от планираните със ЗДБРБ за </w:t>
      </w:r>
      <w:r w:rsidRPr="0001676B">
        <w:t>2023</w:t>
      </w:r>
      <w:r w:rsidR="00BF52B6">
        <w:t> </w:t>
      </w:r>
      <w:r w:rsidRPr="0001676B">
        <w:t>г., като заемат 0,9 % относителен дял в общия размер на данъчните приходи по държавния бюджет. В сравнение с предходната година събраните мита са със 128,5 млн. лв. (28,5 %) по-</w:t>
      </w:r>
      <w:r w:rsidRPr="00030F02">
        <w:t xml:space="preserve">малко. </w:t>
      </w:r>
      <w:r w:rsidRPr="00030F02">
        <w:rPr>
          <w:rFonts w:eastAsia="Batang"/>
          <w:bCs/>
        </w:rPr>
        <w:t>Влияние върху спада в приходите от мита имат въведените от ЕС ограничителни мерки спрямо Русия в съответствие с Регламент (ЕС) № 833/2014 и неговите последващи изменения и допълнения. Друг фактор върху намалените постъпления от мита има въведения с Регламент (ЕС) 2022/870 на ЕП и Съвета от 30 май 2022 г. преференциален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плодовете и зеленчуците, спиране на прилагането на тарифните квоти и пълно премахване на вносните мита, и други.</w:t>
      </w:r>
    </w:p>
    <w:p w14:paraId="7C715489" w14:textId="77777777" w:rsidR="00BF4E0A" w:rsidRPr="00B65617" w:rsidRDefault="00BF4E0A" w:rsidP="00BF4E0A">
      <w:pPr>
        <w:autoSpaceDE w:val="0"/>
        <w:autoSpaceDN w:val="0"/>
        <w:adjustRightInd w:val="0"/>
        <w:spacing w:after="120"/>
        <w:jc w:val="both"/>
        <w:rPr>
          <w:rFonts w:eastAsia="Batang"/>
          <w:bCs/>
        </w:rPr>
      </w:pPr>
      <w:r w:rsidRPr="00BB1D3A">
        <w:rPr>
          <w:rFonts w:eastAsia="Batang"/>
          <w:bCs/>
        </w:rPr>
        <w:t>Паралелно с инструментите за търговска защита или подкрепа, законодателството на ЕС предвижда и механизми за стимулиране на икономиката на ЕС чрез суспендиране на митата за някои видове стоки (Регламент (ЕС) 2022/2465).</w:t>
      </w:r>
    </w:p>
    <w:p w14:paraId="22C4FC50" w14:textId="77777777" w:rsidR="00BF4E0A" w:rsidRPr="001050E8" w:rsidRDefault="00BF4E0A" w:rsidP="00BF4E0A">
      <w:pPr>
        <w:tabs>
          <w:tab w:val="right" w:pos="9072"/>
        </w:tabs>
        <w:spacing w:before="120"/>
        <w:jc w:val="both"/>
        <w:rPr>
          <w:color w:val="0070C0"/>
        </w:rPr>
      </w:pPr>
      <w:r w:rsidRPr="0022130D">
        <w:t>Най-значителн</w:t>
      </w:r>
      <w:r>
        <w:t>о</w:t>
      </w:r>
      <w:r w:rsidRPr="0022130D">
        <w:t xml:space="preserve"> </w:t>
      </w:r>
      <w:r>
        <w:t>намаление</w:t>
      </w:r>
      <w:r w:rsidRPr="0022130D">
        <w:t xml:space="preserve"> на приходите от мита за 2023 г. спрямо 2022 г. се регистрира при вноса на следните групи стоки: „Чугун, желязо и стомана“ – 36,</w:t>
      </w:r>
      <w:r w:rsidRPr="008F08F1">
        <w:rPr>
          <w:lang w:val="ru-RU"/>
        </w:rPr>
        <w:t>4</w:t>
      </w:r>
      <w:r w:rsidRPr="0022130D">
        <w:t> млн. лева (</w:t>
      </w:r>
      <w:r w:rsidRPr="008F08F1">
        <w:rPr>
          <w:lang w:val="ru-RU"/>
        </w:rPr>
        <w:t>79</w:t>
      </w:r>
      <w:r w:rsidRPr="0022130D">
        <w:t xml:space="preserve">,7 % спад); „Торове“ – 25,7 млн. лева (спад от 68,9 %); „Автомобилни превозни средства, трактори, мотоциклети и велосипеди и други сухопътни превозни средства, техните части и принадлежности“ – </w:t>
      </w:r>
      <w:r>
        <w:t>9,8</w:t>
      </w:r>
      <w:r w:rsidRPr="0022130D">
        <w:t xml:space="preserve"> млн. </w:t>
      </w:r>
      <w:r w:rsidRPr="0012748D">
        <w:t>лева (25,6 % спад); „Алуминий и изделия от алуминий“</w:t>
      </w:r>
      <w:r w:rsidRPr="0012748D">
        <w:rPr>
          <w:lang w:val="ru-RU"/>
        </w:rPr>
        <w:t xml:space="preserve"> </w:t>
      </w:r>
      <w:r w:rsidRPr="0012748D">
        <w:t>– 9,7</w:t>
      </w:r>
      <w:r>
        <w:t> </w:t>
      </w:r>
      <w:r w:rsidRPr="0012748D">
        <w:t>млн. лева (33,3 % спад)</w:t>
      </w:r>
      <w:r w:rsidRPr="0012748D">
        <w:rPr>
          <w:lang w:val="ru-RU"/>
        </w:rPr>
        <w:t>;</w:t>
      </w:r>
      <w:r w:rsidRPr="0012748D">
        <w:t xml:space="preserve"> „Пластмаси и пластмасови изделия“ – 7,9 млн. лева (21,1 % спад).</w:t>
      </w:r>
    </w:p>
    <w:p w14:paraId="7A105C4E" w14:textId="3BE30B61" w:rsidR="00BF4E0A" w:rsidRDefault="00BF4E0A" w:rsidP="00BF4E0A">
      <w:pPr>
        <w:tabs>
          <w:tab w:val="right" w:pos="9072"/>
        </w:tabs>
        <w:spacing w:before="120"/>
        <w:jc w:val="both"/>
        <w:rPr>
          <w:color w:val="0070C0"/>
        </w:rPr>
      </w:pPr>
      <w:r w:rsidRPr="00F770E7">
        <w:t>В зависимост от произхода на внасяните стоки, през 2023 г. най-голям е делът на начислените приходи от мита при внос на стоки от Китай. Декларираната сума е 174,7 млн. лева, което представлява 54,5 % от всички начислени мита, а спрямо 2022 г. е отчетен спад от 21,3 %. На второ място са приходите от мита при внос на стоки с произход Русия – 18,0</w:t>
      </w:r>
      <w:r>
        <w:t> </w:t>
      </w:r>
      <w:r w:rsidRPr="00F770E7">
        <w:t>млн. лева, 5,6 % дял от всички начислени мита и спад от 65,4 % на годишна база. Следват приходите от мита при внос на стоки с произход Турция (13,3 млн. лева, 4,1 % относителен дял и спад от 56,4 %), САЩ (12,8</w:t>
      </w:r>
      <w:r w:rsidR="005E567F">
        <w:t> </w:t>
      </w:r>
      <w:r w:rsidRPr="00F770E7">
        <w:t>млн. лева, 4,0 % дял в общите приходи от мита и ръст от 3,2</w:t>
      </w:r>
      <w:r>
        <w:t> </w:t>
      </w:r>
      <w:r w:rsidRPr="00F770E7">
        <w:t>%) и Индия (11,1 млн. лева, 3,5</w:t>
      </w:r>
      <w:r w:rsidR="00877D3B">
        <w:t> </w:t>
      </w:r>
      <w:r w:rsidRPr="00F770E7">
        <w:t>% относителен дял и спад от 1,1 %)</w:t>
      </w:r>
      <w:r w:rsidRPr="001050E8">
        <w:rPr>
          <w:color w:val="0070C0"/>
        </w:rPr>
        <w:t>.</w:t>
      </w:r>
    </w:p>
    <w:p w14:paraId="60B214F8" w14:textId="77777777" w:rsidR="00BF4E0A" w:rsidRPr="0009390D" w:rsidRDefault="00BF4E0A" w:rsidP="00BF4E0A">
      <w:pPr>
        <w:numPr>
          <w:ilvl w:val="0"/>
          <w:numId w:val="4"/>
        </w:numPr>
        <w:tabs>
          <w:tab w:val="clear" w:pos="1440"/>
          <w:tab w:val="num" w:pos="540"/>
        </w:tabs>
        <w:spacing w:before="240"/>
        <w:ind w:left="0" w:firstLine="181"/>
        <w:jc w:val="both"/>
        <w:rPr>
          <w:b/>
          <w:bCs/>
        </w:rPr>
      </w:pPr>
      <w:r w:rsidRPr="0009390D">
        <w:rPr>
          <w:b/>
          <w:bCs/>
        </w:rPr>
        <w:t>Други данъци</w:t>
      </w:r>
    </w:p>
    <w:p w14:paraId="2ADB5905" w14:textId="77777777" w:rsidR="00BF4E0A" w:rsidRPr="00E621B4" w:rsidRDefault="00BF4E0A" w:rsidP="00BF4E0A">
      <w:pPr>
        <w:spacing w:before="120"/>
        <w:jc w:val="both"/>
      </w:pPr>
      <w:r w:rsidRPr="0009390D">
        <w:t xml:space="preserve">Постъпленията от </w:t>
      </w:r>
      <w:r w:rsidRPr="0009390D">
        <w:rPr>
          <w:b/>
        </w:rPr>
        <w:t>други данъци</w:t>
      </w:r>
      <w:r w:rsidRPr="0009390D">
        <w:t xml:space="preserve"> по държавния бюджет </w:t>
      </w:r>
      <w:r>
        <w:rPr>
          <w:bCs/>
        </w:rPr>
        <w:t>за</w:t>
      </w:r>
      <w:r w:rsidRPr="0009390D">
        <w:rPr>
          <w:bCs/>
        </w:rPr>
        <w:t xml:space="preserve"> 2023</w:t>
      </w:r>
      <w:r w:rsidRPr="0009390D">
        <w:t xml:space="preserve"> г. са в </w:t>
      </w:r>
      <w:r w:rsidRPr="006400CE">
        <w:t xml:space="preserve">размер на </w:t>
      </w:r>
      <w:r w:rsidRPr="006400CE">
        <w:rPr>
          <w:b/>
        </w:rPr>
        <w:t>404,4 млн. лв.</w:t>
      </w:r>
      <w:r w:rsidRPr="006400CE">
        <w:t xml:space="preserve"> или 74,5 % от планираните със ЗДБРБ за 2023 г.</w:t>
      </w:r>
      <w:r w:rsidRPr="006400CE">
        <w:rPr>
          <w:bCs/>
        </w:rPr>
        <w:t xml:space="preserve"> Съпоставени с данните към декември 2022 г. приходите от други данъци </w:t>
      </w:r>
      <w:r w:rsidRPr="00D513FA">
        <w:rPr>
          <w:bCs/>
        </w:rPr>
        <w:t xml:space="preserve">нарастват със 177,7 млн. лв. </w:t>
      </w:r>
      <w:r w:rsidRPr="00D513FA">
        <w:rPr>
          <w:bCs/>
          <w:lang w:val="ru-RU"/>
        </w:rPr>
        <w:t>(78,4 </w:t>
      </w:r>
      <w:r w:rsidRPr="00D513FA">
        <w:rPr>
          <w:bCs/>
        </w:rPr>
        <w:t>%</w:t>
      </w:r>
      <w:r w:rsidRPr="00D513FA">
        <w:rPr>
          <w:bCs/>
          <w:lang w:val="ru-RU"/>
        </w:rPr>
        <w:t>).</w:t>
      </w:r>
      <w:r w:rsidRPr="00D513FA">
        <w:rPr>
          <w:bCs/>
        </w:rPr>
        <w:t xml:space="preserve"> </w:t>
      </w:r>
      <w:r w:rsidRPr="00D513FA">
        <w:t xml:space="preserve">Влияние върху по-високия размер на тази група данъци за отчетния период оказват постъпленията от приетата временна солидарна вноска по Регламент (ЕС) 2022/1854 на Съвета от 6 октомври 2022 г. относно </w:t>
      </w:r>
      <w:r w:rsidRPr="006D459A">
        <w:t xml:space="preserve">спешна намеса за справяне с високите цени на енергията (Регламента). Временната солидарна вноска </w:t>
      </w:r>
      <w:r w:rsidRPr="008F08F1">
        <w:rPr>
          <w:lang w:val="ru-RU"/>
        </w:rPr>
        <w:t>(</w:t>
      </w:r>
      <w:r w:rsidRPr="006D459A">
        <w:t>ВСВ</w:t>
      </w:r>
      <w:r w:rsidRPr="008F08F1">
        <w:rPr>
          <w:lang w:val="ru-RU"/>
        </w:rPr>
        <w:t xml:space="preserve">) </w:t>
      </w:r>
      <w:r w:rsidRPr="006D459A">
        <w:t xml:space="preserve">се внася за данъчните печалби за 2022 г. и за 2023 г. от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 14 от Регламента. Правилата за определяне на размера на дължимата ВСВ от предприятията от посочените сектори са регламентирани в Закона за корпоративното подоходно облагане (§ 9 </w:t>
      </w:r>
      <w:r w:rsidRPr="0089743E">
        <w:t>от ПЗР на ЗКПО в сила от 8.10.2022 г. – ДВ, бр. 99 от 2022 г.), като е предоставена възможност, задължените лица да могат да правят авансови плащания по тази вноска. Прието е ставката на ВСВ по Регламент (ЕС) 2022/1854 на Съвета от 6 октомври 2022 година да е 33 на сто за периода от 1 януари до 12 октомври 2023 г. и 50 на сто за периода от 13 октомври до 31 декември 2023 година.</w:t>
      </w:r>
    </w:p>
    <w:p w14:paraId="3BF2D003" w14:textId="77777777" w:rsidR="00BF4E0A" w:rsidRPr="00A359D8" w:rsidRDefault="00BF4E0A" w:rsidP="00BF4E0A">
      <w:pPr>
        <w:numPr>
          <w:ilvl w:val="0"/>
          <w:numId w:val="3"/>
        </w:numPr>
        <w:tabs>
          <w:tab w:val="num" w:pos="720"/>
        </w:tabs>
        <w:spacing w:before="120"/>
        <w:ind w:left="0" w:firstLine="181"/>
        <w:jc w:val="both"/>
      </w:pPr>
      <w:r w:rsidRPr="00A359D8">
        <w:rPr>
          <w:b/>
          <w:bCs/>
        </w:rPr>
        <w:t>Неданъчни приходи</w:t>
      </w:r>
    </w:p>
    <w:p w14:paraId="6D22C998" w14:textId="77777777" w:rsidR="00BF4E0A" w:rsidRPr="00A359D8" w:rsidRDefault="00BF4E0A" w:rsidP="00BF4E0A">
      <w:pPr>
        <w:tabs>
          <w:tab w:val="left" w:pos="900"/>
        </w:tabs>
        <w:spacing w:before="120" w:after="120"/>
        <w:jc w:val="both"/>
      </w:pPr>
      <w:r w:rsidRPr="00A359D8">
        <w:t>Отчетените</w:t>
      </w:r>
      <w:r w:rsidRPr="00A359D8">
        <w:rPr>
          <w:b/>
          <w:bCs/>
        </w:rPr>
        <w:t xml:space="preserve"> неданъчни приходи</w:t>
      </w:r>
      <w:r w:rsidRPr="00A359D8">
        <w:t xml:space="preserve"> по държавния бюджет </w:t>
      </w:r>
      <w:r>
        <w:rPr>
          <w:bCs/>
        </w:rPr>
        <w:t>за</w:t>
      </w:r>
      <w:r w:rsidRPr="00A359D8">
        <w:rPr>
          <w:bCs/>
        </w:rPr>
        <w:t xml:space="preserve"> 2023</w:t>
      </w:r>
      <w:r w:rsidRPr="00A359D8">
        <w:t xml:space="preserve"> г. са в размер на </w:t>
      </w:r>
      <w:r w:rsidRPr="00A359D8">
        <w:rPr>
          <w:b/>
        </w:rPr>
        <w:t>5 430,0 млн. лв</w:t>
      </w:r>
      <w:r w:rsidRPr="00A359D8">
        <w:t>. и се формират основно от приходи от държавни такси, приходи и доходи от собственост, вкл. приходи от дивидент за държавата от държавните предприятия, приходи от концесии и други неданъчни приходи.</w:t>
      </w:r>
    </w:p>
    <w:p w14:paraId="6A9CC97F" w14:textId="77777777" w:rsidR="00BF4E0A" w:rsidRPr="001F342F" w:rsidRDefault="00BF4E0A" w:rsidP="00BF4E0A">
      <w:pPr>
        <w:numPr>
          <w:ilvl w:val="0"/>
          <w:numId w:val="3"/>
        </w:numPr>
        <w:tabs>
          <w:tab w:val="num" w:pos="720"/>
        </w:tabs>
        <w:ind w:left="0" w:firstLine="181"/>
        <w:jc w:val="both"/>
        <w:rPr>
          <w:b/>
          <w:bCs/>
        </w:rPr>
      </w:pPr>
      <w:r w:rsidRPr="001F342F">
        <w:rPr>
          <w:b/>
          <w:bCs/>
        </w:rPr>
        <w:t>Помощи и дарения</w:t>
      </w:r>
    </w:p>
    <w:p w14:paraId="1BEB01F4" w14:textId="77777777" w:rsidR="00BF4E0A" w:rsidRPr="001F342F" w:rsidRDefault="00BF4E0A" w:rsidP="00BF4E0A">
      <w:pPr>
        <w:spacing w:before="120" w:after="120"/>
        <w:jc w:val="both"/>
        <w:rPr>
          <w:b/>
        </w:rPr>
      </w:pPr>
      <w:r w:rsidRPr="001F342F">
        <w:t xml:space="preserve">Постъпилите </w:t>
      </w:r>
      <w:r w:rsidRPr="001F342F">
        <w:rPr>
          <w:b/>
        </w:rPr>
        <w:t>помощи</w:t>
      </w:r>
      <w:r w:rsidRPr="001F342F">
        <w:t xml:space="preserve"> </w:t>
      </w:r>
      <w:r w:rsidRPr="001F342F">
        <w:rPr>
          <w:b/>
        </w:rPr>
        <w:t>и дарения</w:t>
      </w:r>
      <w:r w:rsidRPr="001F342F">
        <w:t xml:space="preserve"> по държавния бюджет </w:t>
      </w:r>
      <w:r>
        <w:t>за</w:t>
      </w:r>
      <w:r w:rsidRPr="001F342F">
        <w:t xml:space="preserve"> 2023 г. са в размер на </w:t>
      </w:r>
      <w:r w:rsidRPr="001F342F">
        <w:rPr>
          <w:b/>
        </w:rPr>
        <w:t>5,3 млн. лева.</w:t>
      </w:r>
    </w:p>
    <w:p w14:paraId="21B6A7F0" w14:textId="77777777" w:rsidR="00BF4E0A" w:rsidRPr="000F3D20" w:rsidRDefault="00BF4E0A" w:rsidP="00BF4E0A">
      <w:pPr>
        <w:numPr>
          <w:ilvl w:val="0"/>
          <w:numId w:val="6"/>
        </w:numPr>
        <w:tabs>
          <w:tab w:val="clear" w:pos="7650"/>
          <w:tab w:val="num" w:pos="426"/>
        </w:tabs>
        <w:spacing w:before="240"/>
        <w:ind w:left="0" w:firstLine="0"/>
        <w:jc w:val="both"/>
        <w:rPr>
          <w:b/>
          <w:bCs/>
        </w:rPr>
      </w:pPr>
      <w:r w:rsidRPr="000F3D20">
        <w:rPr>
          <w:b/>
          <w:bCs/>
        </w:rPr>
        <w:t>Разходи по държавния бюджет</w:t>
      </w:r>
    </w:p>
    <w:p w14:paraId="775561CC" w14:textId="77777777" w:rsidR="00BF4E0A" w:rsidRPr="001050E8" w:rsidRDefault="00BF4E0A" w:rsidP="00BF4E0A">
      <w:pPr>
        <w:jc w:val="both"/>
        <w:rPr>
          <w:b/>
          <w:bCs/>
          <w:color w:val="0070C0"/>
          <w:sz w:val="4"/>
          <w:szCs w:val="4"/>
        </w:rPr>
      </w:pPr>
    </w:p>
    <w:p w14:paraId="2195D77B" w14:textId="77777777" w:rsidR="00BF4E0A" w:rsidRPr="00427392" w:rsidRDefault="00BF4E0A" w:rsidP="00BF4E0A">
      <w:pPr>
        <w:pStyle w:val="BodyTextIndent"/>
        <w:spacing w:after="0"/>
        <w:ind w:left="0"/>
        <w:jc w:val="both"/>
        <w:rPr>
          <w:color w:val="000000" w:themeColor="text1"/>
        </w:rPr>
      </w:pPr>
      <w:r w:rsidRPr="000F3D20">
        <w:t xml:space="preserve">Общият размер на </w:t>
      </w:r>
      <w:r w:rsidRPr="000F3D20">
        <w:rPr>
          <w:b/>
        </w:rPr>
        <w:t>разходите по държавния бюджет</w:t>
      </w:r>
      <w:r w:rsidRPr="000F3D20">
        <w:t xml:space="preserve"> </w:t>
      </w:r>
      <w:r w:rsidRPr="000F3D20">
        <w:rPr>
          <w:lang w:val="ru-RU"/>
        </w:rPr>
        <w:t xml:space="preserve">(вкл. трансферите за др. бюджети и вноската в бюджета на ЕС) </w:t>
      </w:r>
      <w:r>
        <w:rPr>
          <w:bCs/>
        </w:rPr>
        <w:t>за</w:t>
      </w:r>
      <w:r w:rsidRPr="000F3D20">
        <w:rPr>
          <w:bCs/>
        </w:rPr>
        <w:t xml:space="preserve"> 2023</w:t>
      </w:r>
      <w:r w:rsidRPr="000F3D20">
        <w:t xml:space="preserve"> г. е </w:t>
      </w:r>
      <w:r w:rsidRPr="000F3D20">
        <w:rPr>
          <w:b/>
        </w:rPr>
        <w:t>45 061,4 млн. лв</w:t>
      </w:r>
      <w:r w:rsidRPr="000F3D20">
        <w:t xml:space="preserve">. или 96,2 % от предвидените със ЗДБРБ за 2023 г., като нарастват с 4 420,3 млн. лв. </w:t>
      </w:r>
      <w:r w:rsidRPr="000F3D20">
        <w:rPr>
          <w:lang w:val="ru-RU"/>
        </w:rPr>
        <w:t>(</w:t>
      </w:r>
      <w:r w:rsidRPr="000F3D20">
        <w:t>10,9 %</w:t>
      </w:r>
      <w:r w:rsidRPr="000F3D20">
        <w:rPr>
          <w:lang w:val="ru-RU"/>
        </w:rPr>
        <w:t>)</w:t>
      </w:r>
      <w:r w:rsidRPr="000F3D20">
        <w:t xml:space="preserve"> спрямо отчетените </w:t>
      </w:r>
      <w:r>
        <w:t>за</w:t>
      </w:r>
      <w:r w:rsidRPr="000F3D20">
        <w:t xml:space="preserve"> 2022 </w:t>
      </w:r>
      <w:r w:rsidRPr="00427392">
        <w:rPr>
          <w:color w:val="000000" w:themeColor="text1"/>
        </w:rPr>
        <w:t>година.</w:t>
      </w:r>
    </w:p>
    <w:p w14:paraId="26DCBC42" w14:textId="77777777" w:rsidR="00BF4E0A" w:rsidRPr="00427392" w:rsidRDefault="00BF4E0A" w:rsidP="00BF4E0A">
      <w:pPr>
        <w:pStyle w:val="BodyTextIndent"/>
        <w:spacing w:after="0"/>
        <w:ind w:left="0"/>
        <w:jc w:val="both"/>
        <w:rPr>
          <w:color w:val="000000" w:themeColor="text1"/>
        </w:rPr>
      </w:pPr>
    </w:p>
    <w:p w14:paraId="7D2EE6D2" w14:textId="77777777" w:rsidR="00BF4E0A" w:rsidRPr="00427392" w:rsidRDefault="00BF4E0A" w:rsidP="00BF4E0A">
      <w:pPr>
        <w:pStyle w:val="BodyTextIndent"/>
        <w:spacing w:after="0"/>
        <w:ind w:left="0"/>
        <w:jc w:val="both"/>
        <w:rPr>
          <w:color w:val="000000" w:themeColor="text1"/>
          <w:sz w:val="8"/>
          <w:lang w:val="ru-RU"/>
        </w:rPr>
      </w:pPr>
    </w:p>
    <w:p w14:paraId="0B5A04FF" w14:textId="77777777" w:rsidR="00BF4E0A" w:rsidRPr="001050E8" w:rsidRDefault="00BF4E0A" w:rsidP="00BF4E0A">
      <w:pPr>
        <w:pStyle w:val="BodyTextIndent"/>
        <w:spacing w:after="0"/>
        <w:ind w:left="0"/>
        <w:jc w:val="center"/>
        <w:rPr>
          <w:b/>
          <w:color w:val="0070C0"/>
          <w:sz w:val="4"/>
          <w:szCs w:val="4"/>
          <w:u w:val="single"/>
        </w:rPr>
      </w:pPr>
    </w:p>
    <w:p w14:paraId="177E641C" w14:textId="77777777" w:rsidR="00BF4E0A" w:rsidRPr="00A51496" w:rsidRDefault="00BF4E0A" w:rsidP="00BF4E0A">
      <w:pPr>
        <w:pStyle w:val="BodyTextIndent"/>
        <w:spacing w:after="0"/>
        <w:ind w:left="0"/>
        <w:jc w:val="center"/>
        <w:rPr>
          <w:b/>
          <w:u w:val="single"/>
        </w:rPr>
      </w:pPr>
      <w:r w:rsidRPr="00A51496">
        <w:rPr>
          <w:b/>
          <w:u w:val="single"/>
        </w:rPr>
        <w:t xml:space="preserve">Разходи, трансфери за други бюджети и вноска в бюджета на ЕС </w:t>
      </w:r>
    </w:p>
    <w:p w14:paraId="66D345DC" w14:textId="77777777" w:rsidR="00BF4E0A" w:rsidRPr="00A51496" w:rsidRDefault="00BF4E0A" w:rsidP="00BF4E0A">
      <w:pPr>
        <w:pStyle w:val="BodyTextIndent"/>
        <w:spacing w:after="0"/>
        <w:ind w:left="0"/>
        <w:jc w:val="center"/>
        <w:rPr>
          <w:b/>
          <w:u w:val="single"/>
        </w:rPr>
      </w:pPr>
      <w:r w:rsidRPr="00A51496">
        <w:rPr>
          <w:b/>
          <w:u w:val="single"/>
        </w:rPr>
        <w:t>към декември 2022 г. и 2023 г.</w:t>
      </w:r>
    </w:p>
    <w:p w14:paraId="522BF1E5" w14:textId="77777777" w:rsidR="00BF4E0A" w:rsidRPr="001050E8" w:rsidRDefault="00BF4E0A" w:rsidP="00BF4E0A">
      <w:pPr>
        <w:pStyle w:val="BodyTextIndent"/>
        <w:spacing w:after="0"/>
        <w:ind w:left="0"/>
        <w:jc w:val="center"/>
        <w:rPr>
          <w:b/>
          <w:color w:val="0070C0"/>
          <w:u w:val="single"/>
        </w:rPr>
      </w:pPr>
    </w:p>
    <w:p w14:paraId="7AEBCA62" w14:textId="77777777" w:rsidR="00BF4E0A" w:rsidRPr="001050E8" w:rsidRDefault="00BF4E0A" w:rsidP="00BF4E0A">
      <w:pPr>
        <w:pStyle w:val="BodyTextIndent"/>
        <w:spacing w:after="0"/>
        <w:ind w:left="0"/>
        <w:jc w:val="center"/>
        <w:rPr>
          <w:b/>
          <w:color w:val="0070C0"/>
          <w:u w:val="single"/>
        </w:rPr>
      </w:pPr>
      <w:r w:rsidRPr="001050E8">
        <w:rPr>
          <w:noProof/>
          <w:color w:val="0070C0"/>
          <w:lang w:eastAsia="bg-BG"/>
        </w:rPr>
        <w:drawing>
          <wp:inline distT="0" distB="0" distL="0" distR="0" wp14:anchorId="5E54EE14" wp14:editId="44BD0AD5">
            <wp:extent cx="5318760" cy="2461260"/>
            <wp:effectExtent l="0" t="0" r="15240" b="15240"/>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C01CE5" w14:textId="77777777" w:rsidR="00BF4E0A" w:rsidRPr="001050E8" w:rsidRDefault="00BF4E0A" w:rsidP="00BF4E0A">
      <w:pPr>
        <w:pStyle w:val="BodyTextIndent"/>
        <w:spacing w:after="0"/>
        <w:ind w:left="0"/>
        <w:jc w:val="center"/>
        <w:rPr>
          <w:b/>
          <w:color w:val="0070C0"/>
          <w:sz w:val="8"/>
          <w:szCs w:val="8"/>
          <w:u w:val="single"/>
        </w:rPr>
      </w:pPr>
    </w:p>
    <w:p w14:paraId="5F214A71" w14:textId="77777777" w:rsidR="00BF4E0A" w:rsidRPr="009B18D3" w:rsidRDefault="00BF4E0A" w:rsidP="00BF4E0A">
      <w:pPr>
        <w:ind w:firstLine="360"/>
        <w:rPr>
          <w:sz w:val="18"/>
          <w:szCs w:val="18"/>
        </w:rPr>
      </w:pPr>
      <w:bookmarkStart w:id="72" w:name="_MON_1562146415"/>
      <w:bookmarkStart w:id="73" w:name="_MON_1562146493"/>
      <w:bookmarkStart w:id="74" w:name="_MON_1562146700"/>
      <w:bookmarkStart w:id="75" w:name="_MON_1562146782"/>
      <w:bookmarkStart w:id="76" w:name="_MON_1562146967"/>
      <w:bookmarkStart w:id="77" w:name="_MON_1562147372"/>
      <w:bookmarkStart w:id="78" w:name="_MON_1562147473"/>
      <w:bookmarkStart w:id="79" w:name="_MON_1562147677"/>
      <w:bookmarkStart w:id="80" w:name="_MON_1562147743"/>
      <w:bookmarkStart w:id="81" w:name="_MON_1562147867"/>
      <w:bookmarkStart w:id="82" w:name="_MON_1562147934"/>
      <w:bookmarkStart w:id="83" w:name="_MON_1562148056"/>
      <w:bookmarkStart w:id="84" w:name="_MON_1562148171"/>
      <w:bookmarkStart w:id="85" w:name="_MON_1562148229"/>
      <w:bookmarkStart w:id="86" w:name="_MON_1562148307"/>
      <w:bookmarkStart w:id="87" w:name="_MON_1562148447"/>
      <w:bookmarkStart w:id="88" w:name="_MON_1562148558"/>
      <w:bookmarkStart w:id="89" w:name="_MON_1562152805"/>
      <w:bookmarkStart w:id="90" w:name="_MON_1562152984"/>
      <w:bookmarkStart w:id="91" w:name="_MON_1562153459"/>
      <w:bookmarkStart w:id="92" w:name="_MON_1562153503"/>
      <w:bookmarkStart w:id="93" w:name="_MON_1562153559"/>
      <w:bookmarkStart w:id="94" w:name="_MON_1562153646"/>
      <w:bookmarkStart w:id="95" w:name="_MON_1562153939"/>
      <w:bookmarkStart w:id="96" w:name="_MON_1562154053"/>
      <w:bookmarkStart w:id="97" w:name="_MON_1562154282"/>
      <w:bookmarkStart w:id="98" w:name="_MON_1562146286"/>
      <w:bookmarkStart w:id="99" w:name="_MON_1562154881"/>
      <w:bookmarkStart w:id="100" w:name="_MON_1562154973"/>
      <w:bookmarkStart w:id="101" w:name="_MON_1562155194"/>
      <w:bookmarkStart w:id="102" w:name="_MON_1562155231"/>
      <w:bookmarkStart w:id="103" w:name="_MON_1562155321"/>
      <w:bookmarkStart w:id="104" w:name="_MON_156215539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9B18D3">
        <w:rPr>
          <w:sz w:val="18"/>
          <w:szCs w:val="18"/>
        </w:rPr>
        <w:t>*</w:t>
      </w:r>
      <w:r w:rsidRPr="009B18D3">
        <w:t xml:space="preserve"> </w:t>
      </w:r>
      <w:r w:rsidRPr="009B18D3">
        <w:rPr>
          <w:sz w:val="18"/>
          <w:szCs w:val="18"/>
        </w:rPr>
        <w:t>Вкл. нетния прираст на държавния резерв</w:t>
      </w:r>
    </w:p>
    <w:p w14:paraId="1B31B54F" w14:textId="77777777" w:rsidR="00BF4E0A" w:rsidRPr="003358E1" w:rsidRDefault="00BF4E0A" w:rsidP="00BF4E0A">
      <w:pPr>
        <w:ind w:firstLine="360"/>
        <w:rPr>
          <w:color w:val="000000" w:themeColor="text1"/>
          <w:sz w:val="18"/>
          <w:szCs w:val="18"/>
        </w:rPr>
      </w:pPr>
    </w:p>
    <w:p w14:paraId="5D054C86" w14:textId="77777777" w:rsidR="00BF4E0A" w:rsidRPr="001E1578" w:rsidRDefault="00BF4E0A" w:rsidP="00BF4E0A">
      <w:pPr>
        <w:pStyle w:val="BodyTextIndent"/>
        <w:numPr>
          <w:ilvl w:val="0"/>
          <w:numId w:val="17"/>
        </w:numPr>
        <w:spacing w:before="120" w:after="0"/>
        <w:jc w:val="both"/>
        <w:rPr>
          <w:b/>
          <w:bCs/>
        </w:rPr>
      </w:pPr>
      <w:r w:rsidRPr="001E1578">
        <w:rPr>
          <w:b/>
          <w:bCs/>
        </w:rPr>
        <w:t>Нелихвени разходи</w:t>
      </w:r>
    </w:p>
    <w:p w14:paraId="2F558CB1" w14:textId="77777777" w:rsidR="00BF4E0A" w:rsidRPr="001050E8" w:rsidRDefault="00BF4E0A" w:rsidP="00BF4E0A">
      <w:pPr>
        <w:spacing w:before="120"/>
        <w:jc w:val="both"/>
        <w:rPr>
          <w:bCs/>
          <w:color w:val="0070C0"/>
        </w:rPr>
      </w:pPr>
      <w:r w:rsidRPr="001E1578">
        <w:rPr>
          <w:b/>
          <w:bCs/>
        </w:rPr>
        <w:t>Нелихвените разходи</w:t>
      </w:r>
      <w:r w:rsidRPr="001E1578">
        <w:rPr>
          <w:bCs/>
        </w:rPr>
        <w:t xml:space="preserve"> по държавния бюджет към декември 2023</w:t>
      </w:r>
      <w:r w:rsidRPr="001E1578">
        <w:rPr>
          <w:lang w:val="en-US"/>
        </w:rPr>
        <w:t> </w:t>
      </w:r>
      <w:r w:rsidRPr="001E1578">
        <w:t xml:space="preserve">г. </w:t>
      </w:r>
      <w:r w:rsidRPr="001E1578">
        <w:rPr>
          <w:bCs/>
        </w:rPr>
        <w:t xml:space="preserve">са в размер на </w:t>
      </w:r>
      <w:r w:rsidRPr="001E1578">
        <w:rPr>
          <w:b/>
          <w:bCs/>
        </w:rPr>
        <w:t>18 785,5 млн. лв</w:t>
      </w:r>
      <w:r w:rsidRPr="001E1578">
        <w:rPr>
          <w:bCs/>
        </w:rPr>
        <w:t>., което представлява 88,0 % от годишния разчет. Съпоставени с данните към декември 2022 г. нелихвените разходи нарастват с 945,2</w:t>
      </w:r>
      <w:r w:rsidRPr="008F08F1">
        <w:rPr>
          <w:bCs/>
          <w:lang w:val="ru-RU"/>
        </w:rPr>
        <w:t xml:space="preserve"> </w:t>
      </w:r>
      <w:r w:rsidRPr="001E1578">
        <w:rPr>
          <w:bCs/>
        </w:rPr>
        <w:t xml:space="preserve">млн. лв. </w:t>
      </w:r>
      <w:r w:rsidRPr="001E1578">
        <w:rPr>
          <w:bCs/>
          <w:lang w:val="ru-RU"/>
        </w:rPr>
        <w:t>(5,3</w:t>
      </w:r>
      <w:r w:rsidRPr="001E1578">
        <w:rPr>
          <w:bCs/>
        </w:rPr>
        <w:t xml:space="preserve"> %</w:t>
      </w:r>
      <w:r w:rsidRPr="001E1578">
        <w:rPr>
          <w:bCs/>
          <w:lang w:val="ru-RU"/>
        </w:rPr>
        <w:t>).</w:t>
      </w:r>
      <w:r w:rsidRPr="001E1578">
        <w:rPr>
          <w:bCs/>
        </w:rPr>
        <w:t xml:space="preserve"> </w:t>
      </w:r>
    </w:p>
    <w:p w14:paraId="00033E3E" w14:textId="29DF5368" w:rsidR="00BF4E0A" w:rsidRPr="003358E1" w:rsidRDefault="00BF4E0A" w:rsidP="00BF4E0A">
      <w:pPr>
        <w:jc w:val="both"/>
        <w:rPr>
          <w:bCs/>
          <w:color w:val="000000" w:themeColor="text1"/>
        </w:rPr>
      </w:pPr>
      <w:r w:rsidRPr="00294125">
        <w:rPr>
          <w:bCs/>
        </w:rPr>
        <w:t>Разходите за персонал (заплати и възнаграждения, други възнаграждения и плащания за персонала и осигурителни вноски) са в общ размер на 8 498,6 млн. лв. или 98,5 % от планиран</w:t>
      </w:r>
      <w:r w:rsidRPr="00296D85">
        <w:rPr>
          <w:bCs/>
        </w:rPr>
        <w:t xml:space="preserve">ите за 2023 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w:t>
      </w:r>
      <w:r w:rsidRPr="00E96235">
        <w:rPr>
          <w:bCs/>
        </w:rPr>
        <w:t xml:space="preserve">размер на 3 535,7 млн. лв. или 66,7 % от планираните за годината. Социалните разходи (вкл. разходите за стипендии) са в размер на 1 339,6 млн. лв. или 59,5 % от предвидените </w:t>
      </w:r>
      <w:r w:rsidRPr="00E96235">
        <w:t>за годината.</w:t>
      </w:r>
      <w:r w:rsidRPr="00E96235">
        <w:rPr>
          <w:bCs/>
        </w:rPr>
        <w:t xml:space="preserve"> </w:t>
      </w:r>
      <w:r w:rsidRPr="00E96235">
        <w:t xml:space="preserve">Част от планираните социални разходи по държавния бюджет се предоставят като </w:t>
      </w:r>
      <w:r w:rsidR="00B50A8D" w:rsidRPr="00E96235">
        <w:t>трансфери</w:t>
      </w:r>
      <w:r w:rsidRPr="00E96235">
        <w:t xml:space="preserve"> за общинските бюджети.</w:t>
      </w:r>
      <w:r w:rsidRPr="00E96235">
        <w:rPr>
          <w:bCs/>
        </w:rPr>
        <w:t xml:space="preserve"> Предоставените текущи и капиталови трансфери за чужбина са в размер на 21,</w:t>
      </w:r>
      <w:r w:rsidRPr="000A2119">
        <w:rPr>
          <w:bCs/>
        </w:rPr>
        <w:t xml:space="preserve">4 млн. лв. Разходите за субсидии са в размер на 1 454,8 млн. лв. или 91,6 % от </w:t>
      </w:r>
      <w:r w:rsidRPr="002C4F71">
        <w:rPr>
          <w:bCs/>
        </w:rPr>
        <w:t>планираните за годината.</w:t>
      </w:r>
      <w:r w:rsidRPr="008F08F1">
        <w:rPr>
          <w:bCs/>
          <w:lang w:val="ru-RU"/>
        </w:rPr>
        <w:t xml:space="preserve"> </w:t>
      </w:r>
      <w:r w:rsidRPr="002C4F71">
        <w:rPr>
          <w:bCs/>
        </w:rPr>
        <w:t xml:space="preserve">Към декември 2023 г. субсидиите за „БДЖ – Пътнически превози” ЕООД са в </w:t>
      </w:r>
      <w:r w:rsidRPr="00551E29">
        <w:rPr>
          <w:bCs/>
        </w:rPr>
        <w:t xml:space="preserve">размер на </w:t>
      </w:r>
      <w:r w:rsidRPr="008F08F1">
        <w:rPr>
          <w:bCs/>
          <w:lang w:val="ru-RU"/>
        </w:rPr>
        <w:t>194</w:t>
      </w:r>
      <w:r w:rsidRPr="00551E29">
        <w:rPr>
          <w:bCs/>
        </w:rPr>
        <w:t>,</w:t>
      </w:r>
      <w:r w:rsidRPr="008F08F1">
        <w:rPr>
          <w:bCs/>
          <w:lang w:val="ru-RU"/>
        </w:rPr>
        <w:t>8</w:t>
      </w:r>
      <w:r w:rsidRPr="00551E29">
        <w:rPr>
          <w:bCs/>
        </w:rPr>
        <w:t xml:space="preserve"> млн. лв., субсидиите за Национална компания „Железопътна инфраструктура” са </w:t>
      </w:r>
      <w:r w:rsidRPr="008F08F1">
        <w:rPr>
          <w:bCs/>
          <w:lang w:val="ru-RU"/>
        </w:rPr>
        <w:t>270</w:t>
      </w:r>
      <w:r w:rsidRPr="00551E29">
        <w:rPr>
          <w:bCs/>
        </w:rPr>
        <w:t>,</w:t>
      </w:r>
      <w:r w:rsidRPr="008F08F1">
        <w:rPr>
          <w:bCs/>
          <w:lang w:val="ru-RU"/>
        </w:rPr>
        <w:t>8</w:t>
      </w:r>
      <w:r w:rsidR="00846D55">
        <w:rPr>
          <w:bCs/>
        </w:rPr>
        <w:t> </w:t>
      </w:r>
      <w:r w:rsidRPr="00551E29">
        <w:rPr>
          <w:bCs/>
        </w:rPr>
        <w:t xml:space="preserve">млн. лв. и 61,3 млн. лв. са за „Български пощи” ЕАД, в т.ч. 33,7 млн. лв. за извършване на универсална пощенска услуга и 27,6 млн. лв. за разпространение на периодични печатни издания - вестници и списания. Към 31.12.2023 г. субсидиите за ДП „Пристанищна инфраструктура“ са в размер на 2,4 млн. лв. и са за преодоляване на последствията от бедствието с кораба "Вера Су". За отчетния период субсидиите за „България Хели Мед Сървиз“ </w:t>
      </w:r>
      <w:r w:rsidRPr="008F08F1">
        <w:rPr>
          <w:bCs/>
          <w:lang w:val="ru-RU"/>
        </w:rPr>
        <w:t>(</w:t>
      </w:r>
      <w:r w:rsidRPr="00551E29">
        <w:rPr>
          <w:bCs/>
        </w:rPr>
        <w:t>център за спешна медицинска помощ по въздуха</w:t>
      </w:r>
      <w:r w:rsidRPr="008F08F1">
        <w:rPr>
          <w:bCs/>
          <w:lang w:val="ru-RU"/>
        </w:rPr>
        <w:t xml:space="preserve">) </w:t>
      </w:r>
      <w:r w:rsidRPr="00551E29">
        <w:rPr>
          <w:bCs/>
        </w:rPr>
        <w:t xml:space="preserve">са в размер на </w:t>
      </w:r>
      <w:r w:rsidRPr="00221CF1">
        <w:rPr>
          <w:bCs/>
        </w:rPr>
        <w:t xml:space="preserve">4,5 млн. лв. Към края на месец декември 2023 г. ДФ „Земеделие“ e изплатил субсидии в общ </w:t>
      </w:r>
      <w:r w:rsidRPr="0049319D">
        <w:rPr>
          <w:bCs/>
        </w:rPr>
        <w:t>размер на 734,7 млн. лв., от които 601,4 млн. лв. държавна помощ, в т.ч. 170</w:t>
      </w:r>
      <w:r>
        <w:rPr>
          <w:bCs/>
        </w:rPr>
        <w:t> </w:t>
      </w:r>
      <w:r w:rsidRPr="0049319D">
        <w:rPr>
          <w:bCs/>
        </w:rPr>
        <w:t xml:space="preserve">млн. лв., </w:t>
      </w:r>
      <w:r w:rsidRPr="003358E1">
        <w:rPr>
          <w:bCs/>
          <w:color w:val="000000" w:themeColor="text1"/>
        </w:rPr>
        <w:t xml:space="preserve">изплатени през м. септември 2023 г., за осигуряване на подкрепа на земеделските стопани по национални мерки и компенсации на увеличените цени на енергоносители, фуражи и др., в съответствие с ПМС №125/2023 г.; 69,8 млн. лв. преходна национална помощ за тютюн; 53,1 млн. лв. преходна национална помощ за сектор „Животновъдство“ и 7,4 млн. лв. средства за ДДС по схеми „Училищен плод“ и „Училищно мляко“. През месец </w:t>
      </w:r>
      <w:r w:rsidRPr="003358E1">
        <w:rPr>
          <w:color w:val="000000" w:themeColor="text1"/>
        </w:rPr>
        <w:t>септември</w:t>
      </w:r>
      <w:r w:rsidRPr="003358E1">
        <w:rPr>
          <w:bCs/>
          <w:color w:val="000000" w:themeColor="text1"/>
        </w:rPr>
        <w:t xml:space="preserve">, в изпълнение на ПМС №165/2023 г., по бюджета на </w:t>
      </w:r>
      <w:r w:rsidRPr="0034587A">
        <w:rPr>
          <w:bCs/>
          <w:color w:val="000000" w:themeColor="text1"/>
        </w:rPr>
        <w:t>Министерството на енергетиката бяха възстановени средства в размер на 401 млн. лв.</w:t>
      </w:r>
      <w:r>
        <w:rPr>
          <w:bCs/>
          <w:color w:val="000000" w:themeColor="text1"/>
        </w:rPr>
        <w:t xml:space="preserve"> </w:t>
      </w:r>
      <w:r w:rsidRPr="0034587A">
        <w:rPr>
          <w:bCs/>
          <w:color w:val="000000" w:themeColor="text1"/>
        </w:rPr>
        <w:t>- от сметки за чужди средства.</w:t>
      </w:r>
      <w:r w:rsidRPr="003358E1">
        <w:rPr>
          <w:bCs/>
          <w:color w:val="000000" w:themeColor="text1"/>
        </w:rPr>
        <w:t xml:space="preserve"> </w:t>
      </w:r>
    </w:p>
    <w:p w14:paraId="17777F22" w14:textId="0B402CE7" w:rsidR="00BF4E0A" w:rsidRPr="001050E8" w:rsidRDefault="00BF4E0A" w:rsidP="00BF4E0A">
      <w:pPr>
        <w:spacing w:before="120" w:after="240"/>
        <w:jc w:val="both"/>
        <w:rPr>
          <w:bCs/>
          <w:color w:val="0070C0"/>
          <w:lang w:val="ru-RU"/>
        </w:rPr>
      </w:pPr>
      <w:r w:rsidRPr="003358E1">
        <w:rPr>
          <w:bCs/>
          <w:i/>
          <w:color w:val="000000" w:themeColor="text1"/>
        </w:rPr>
        <w:t>Капиталовите разходи</w:t>
      </w:r>
      <w:r w:rsidRPr="003358E1">
        <w:rPr>
          <w:bCs/>
          <w:color w:val="000000" w:themeColor="text1"/>
        </w:rPr>
        <w:t xml:space="preserve"> (вкл. нетния </w:t>
      </w:r>
      <w:r w:rsidRPr="002255BB">
        <w:rPr>
          <w:bCs/>
        </w:rPr>
        <w:t xml:space="preserve">прираст на държавния резерв) по държавния бюджет възлизат </w:t>
      </w:r>
      <w:r w:rsidRPr="005B0F2F">
        <w:rPr>
          <w:bCs/>
        </w:rPr>
        <w:t xml:space="preserve">на 3 935,6 млн. лв., от които 1 984,8 млн. лв. капиталови разходи по бюджета на Министерството на регионалното развитие и благоустройство и 1 172,0 млн. лв. по бюджета на Министерство на </w:t>
      </w:r>
      <w:r w:rsidRPr="00642E62">
        <w:rPr>
          <w:bCs/>
        </w:rPr>
        <w:t xml:space="preserve">отбраната. </w:t>
      </w:r>
      <w:r w:rsidRPr="00642E62">
        <w:t xml:space="preserve">Част от планираните капиталови разходи по държавния бюджет се предоставят като </w:t>
      </w:r>
      <w:r w:rsidR="00DF336B" w:rsidRPr="00642E62">
        <w:t>трансфери</w:t>
      </w:r>
      <w:r w:rsidRPr="00642E62">
        <w:t xml:space="preserve"> за общинските бюджети. </w:t>
      </w:r>
      <w:r w:rsidRPr="00642E62">
        <w:rPr>
          <w:bCs/>
        </w:rPr>
        <w:t>През януари 2023 г. има възстановени средства (в размер на 8,3 млн. лв.) от предоставен капиталов трансфер през 2022 г. на „БДЖ-Пътнически превози“ ЕООД в съответствие с чл. 9 от ПМС № 31/2022 година</w:t>
      </w:r>
      <w:r w:rsidRPr="00642E62">
        <w:rPr>
          <w:bCs/>
          <w:lang w:val="ru-RU"/>
        </w:rPr>
        <w:t>.</w:t>
      </w:r>
    </w:p>
    <w:p w14:paraId="701EF993" w14:textId="77777777" w:rsidR="00686EF0" w:rsidRPr="00786309" w:rsidRDefault="00686EF0" w:rsidP="00ED2B9A">
      <w:pPr>
        <w:numPr>
          <w:ilvl w:val="1"/>
          <w:numId w:val="12"/>
        </w:numPr>
        <w:tabs>
          <w:tab w:val="num" w:pos="720"/>
          <w:tab w:val="num" w:pos="900"/>
        </w:tabs>
        <w:spacing w:before="240" w:after="120"/>
        <w:ind w:left="714" w:hanging="357"/>
        <w:jc w:val="both"/>
        <w:rPr>
          <w:b/>
          <w:bCs/>
        </w:rPr>
      </w:pPr>
      <w:r w:rsidRPr="00786309">
        <w:rPr>
          <w:b/>
        </w:rPr>
        <w:t>Просрочени задължения</w:t>
      </w:r>
    </w:p>
    <w:p w14:paraId="6F596F1D" w14:textId="7B1E4300" w:rsidR="00EB3EAF" w:rsidRPr="001C1040" w:rsidRDefault="00EB3EAF" w:rsidP="00EB3EAF">
      <w:pPr>
        <w:spacing w:after="120"/>
        <w:jc w:val="both"/>
      </w:pPr>
      <w:r w:rsidRPr="00D0072D">
        <w:t xml:space="preserve">Към </w:t>
      </w:r>
      <w:r w:rsidR="00786309" w:rsidRPr="00D0072D">
        <w:rPr>
          <w:lang w:val="en-US"/>
        </w:rPr>
        <w:t>31</w:t>
      </w:r>
      <w:r w:rsidRPr="00D0072D">
        <w:t>.</w:t>
      </w:r>
      <w:r w:rsidR="00786309" w:rsidRPr="00D0072D">
        <w:rPr>
          <w:lang w:val="en-US"/>
        </w:rPr>
        <w:t>12</w:t>
      </w:r>
      <w:r w:rsidRPr="00D0072D">
        <w:t>.202</w:t>
      </w:r>
      <w:r w:rsidR="00633965" w:rsidRPr="00D0072D">
        <w:rPr>
          <w:lang w:val="ru-RU"/>
        </w:rPr>
        <w:t>3</w:t>
      </w:r>
      <w:r w:rsidRPr="00D0072D">
        <w:t xml:space="preserve"> г. просрочените задължения на централно и местно правителство са в размер на </w:t>
      </w:r>
      <w:r w:rsidR="00D0072D" w:rsidRPr="001C1040">
        <w:rPr>
          <w:b/>
        </w:rPr>
        <w:t>383</w:t>
      </w:r>
      <w:r w:rsidR="0053269F" w:rsidRPr="001C1040">
        <w:rPr>
          <w:b/>
        </w:rPr>
        <w:t>,7</w:t>
      </w:r>
      <w:r w:rsidRPr="001C1040">
        <w:rPr>
          <w:b/>
        </w:rPr>
        <w:t xml:space="preserve"> млн. лева.</w:t>
      </w:r>
      <w:r w:rsidRPr="001C1040">
        <w:t xml:space="preserve"> </w:t>
      </w:r>
    </w:p>
    <w:p w14:paraId="5508AF55" w14:textId="2A18D25A" w:rsidR="00EB3EAF" w:rsidRPr="00C43E0F" w:rsidRDefault="00EB3EAF" w:rsidP="00D822E5">
      <w:pPr>
        <w:spacing w:before="120"/>
        <w:jc w:val="both"/>
        <w:rPr>
          <w:noProof/>
        </w:rPr>
      </w:pPr>
      <w:r w:rsidRPr="001C1040">
        <w:t xml:space="preserve">Размерът на просрочените задължения на </w:t>
      </w:r>
      <w:r w:rsidRPr="001C1040">
        <w:rPr>
          <w:b/>
        </w:rPr>
        <w:t>централно</w:t>
      </w:r>
      <w:r w:rsidR="008362B6" w:rsidRPr="001C1040">
        <w:rPr>
          <w:b/>
        </w:rPr>
        <w:t>то</w:t>
      </w:r>
      <w:r w:rsidRPr="001C1040">
        <w:rPr>
          <w:b/>
        </w:rPr>
        <w:t xml:space="preserve"> правителство</w:t>
      </w:r>
      <w:r w:rsidRPr="001C1040">
        <w:t xml:space="preserve"> (министерства, ведомства </w:t>
      </w:r>
      <w:r w:rsidRPr="007D4B49">
        <w:t>и разпоредителите с бюджет по чл. 13, ал. 3 и ал. 4 на ЗПФ) е</w:t>
      </w:r>
      <w:r w:rsidR="00BD0457" w:rsidRPr="007D4B49">
        <w:rPr>
          <w:b/>
        </w:rPr>
        <w:t xml:space="preserve"> </w:t>
      </w:r>
      <w:r w:rsidR="001C1040" w:rsidRPr="007D4B49">
        <w:rPr>
          <w:b/>
        </w:rPr>
        <w:t>230,5</w:t>
      </w:r>
      <w:r w:rsidRPr="007D4B49">
        <w:rPr>
          <w:b/>
        </w:rPr>
        <w:t xml:space="preserve"> млн. лв. </w:t>
      </w:r>
      <w:r w:rsidRPr="007D4B49">
        <w:t>Спрямо отчетените в края на 202</w:t>
      </w:r>
      <w:r w:rsidR="00370192" w:rsidRPr="007D4B49">
        <w:t>2</w:t>
      </w:r>
      <w:r w:rsidRPr="007D4B49">
        <w:t xml:space="preserve"> г. те намаляват с </w:t>
      </w:r>
      <w:r w:rsidR="007D4B49" w:rsidRPr="007D4B49">
        <w:t>324,8</w:t>
      </w:r>
      <w:r w:rsidRPr="007D4B49">
        <w:t xml:space="preserve"> млн. лева (основно от намаление на просрочията на МРРБ във връзка с обезпечени със средства </w:t>
      </w:r>
      <w:r w:rsidRPr="007D4B49">
        <w:rPr>
          <w:noProof/>
        </w:rPr>
        <w:t xml:space="preserve">договори за текущ ремонт и поддържане на републиканските пътища, вкл. и зимно </w:t>
      </w:r>
      <w:r w:rsidRPr="00D750C6">
        <w:rPr>
          <w:noProof/>
        </w:rPr>
        <w:t>поддържане</w:t>
      </w:r>
      <w:r w:rsidRPr="00D750C6">
        <w:t xml:space="preserve">). В обхвата на държавния бюджет по-значими просрочени задължения има </w:t>
      </w:r>
      <w:r w:rsidRPr="00D750C6">
        <w:rPr>
          <w:bCs/>
        </w:rPr>
        <w:t xml:space="preserve">при </w:t>
      </w:r>
      <w:r w:rsidR="007F052C" w:rsidRPr="00D750C6">
        <w:rPr>
          <w:bCs/>
        </w:rPr>
        <w:t>следните</w:t>
      </w:r>
      <w:r w:rsidRPr="00D750C6">
        <w:rPr>
          <w:bCs/>
        </w:rPr>
        <w:t xml:space="preserve"> министерства</w:t>
      </w:r>
      <w:r w:rsidR="007F052C" w:rsidRPr="00D750C6">
        <w:t xml:space="preserve">: </w:t>
      </w:r>
      <w:r w:rsidR="00370192" w:rsidRPr="00D750C6">
        <w:rPr>
          <w:bCs/>
        </w:rPr>
        <w:t>Министерство</w:t>
      </w:r>
      <w:r w:rsidR="008362B6" w:rsidRPr="00D750C6">
        <w:rPr>
          <w:bCs/>
        </w:rPr>
        <w:t>то</w:t>
      </w:r>
      <w:r w:rsidR="00370192" w:rsidRPr="00D750C6">
        <w:rPr>
          <w:bCs/>
        </w:rPr>
        <w:t xml:space="preserve"> на регионалното </w:t>
      </w:r>
      <w:r w:rsidR="00370192" w:rsidRPr="00677E3B">
        <w:rPr>
          <w:bCs/>
        </w:rPr>
        <w:t xml:space="preserve">развитие и благоустройството – </w:t>
      </w:r>
      <w:r w:rsidR="00CA75AB" w:rsidRPr="00677E3B">
        <w:rPr>
          <w:bCs/>
        </w:rPr>
        <w:t>180,6</w:t>
      </w:r>
      <w:r w:rsidR="00370192" w:rsidRPr="00677E3B">
        <w:rPr>
          <w:bCs/>
        </w:rPr>
        <w:t xml:space="preserve"> млн. лв. </w:t>
      </w:r>
      <w:r w:rsidR="00380210" w:rsidRPr="00677E3B">
        <w:rPr>
          <w:noProof/>
        </w:rPr>
        <w:t xml:space="preserve">(намаление с </w:t>
      </w:r>
      <w:r w:rsidR="00CA75AB" w:rsidRPr="00677E3B">
        <w:rPr>
          <w:noProof/>
        </w:rPr>
        <w:t>325,8</w:t>
      </w:r>
      <w:r w:rsidR="00380210" w:rsidRPr="00677E3B">
        <w:rPr>
          <w:noProof/>
        </w:rPr>
        <w:t xml:space="preserve"> млн. лв.</w:t>
      </w:r>
      <w:r w:rsidR="00380210" w:rsidRPr="00677E3B">
        <w:t xml:space="preserve"> спрямо просрочията в края на 2022 г.</w:t>
      </w:r>
      <w:r w:rsidR="008362B6" w:rsidRPr="00677E3B">
        <w:t>)</w:t>
      </w:r>
      <w:r w:rsidR="003E73AA" w:rsidRPr="00677E3B">
        <w:rPr>
          <w:lang w:val="ru-RU"/>
        </w:rPr>
        <w:t xml:space="preserve">; </w:t>
      </w:r>
      <w:r w:rsidR="00F722BE" w:rsidRPr="00677E3B">
        <w:rPr>
          <w:noProof/>
        </w:rPr>
        <w:t>Министерство</w:t>
      </w:r>
      <w:r w:rsidR="008362B6" w:rsidRPr="00677E3B">
        <w:rPr>
          <w:noProof/>
        </w:rPr>
        <w:t>то</w:t>
      </w:r>
      <w:r w:rsidR="00F722BE" w:rsidRPr="00677E3B">
        <w:rPr>
          <w:noProof/>
        </w:rPr>
        <w:t xml:space="preserve"> на земеделието</w:t>
      </w:r>
      <w:r w:rsidR="00E83A5E" w:rsidRPr="00677E3B">
        <w:rPr>
          <w:noProof/>
        </w:rPr>
        <w:t xml:space="preserve"> и храните</w:t>
      </w:r>
      <w:r w:rsidR="00F722BE" w:rsidRPr="00677E3B">
        <w:rPr>
          <w:noProof/>
        </w:rPr>
        <w:t xml:space="preserve"> – </w:t>
      </w:r>
      <w:r w:rsidR="00AC4342" w:rsidRPr="00677E3B">
        <w:rPr>
          <w:noProof/>
        </w:rPr>
        <w:t>23,</w:t>
      </w:r>
      <w:r w:rsidR="00677E3B" w:rsidRPr="00677E3B">
        <w:rPr>
          <w:noProof/>
        </w:rPr>
        <w:t>0</w:t>
      </w:r>
      <w:r w:rsidR="00F722BE" w:rsidRPr="00677E3B">
        <w:rPr>
          <w:noProof/>
        </w:rPr>
        <w:t> млн. лв. (</w:t>
      </w:r>
      <w:r w:rsidR="00F722BE" w:rsidRPr="00C81BE4">
        <w:rPr>
          <w:noProof/>
        </w:rPr>
        <w:t xml:space="preserve">увеличение с </w:t>
      </w:r>
      <w:r w:rsidR="00677E3B" w:rsidRPr="00C81BE4">
        <w:rPr>
          <w:noProof/>
        </w:rPr>
        <w:t>2,6</w:t>
      </w:r>
      <w:r w:rsidR="00F722BE" w:rsidRPr="00C81BE4">
        <w:rPr>
          <w:noProof/>
        </w:rPr>
        <w:t xml:space="preserve"> млн. лв. </w:t>
      </w:r>
      <w:r w:rsidR="00F722BE" w:rsidRPr="00C81BE4">
        <w:t>спрямо просрочията в края на 202</w:t>
      </w:r>
      <w:r w:rsidR="00517CD0" w:rsidRPr="00C81BE4">
        <w:t>2</w:t>
      </w:r>
      <w:r w:rsidR="00F722BE" w:rsidRPr="00C81BE4">
        <w:t> г.</w:t>
      </w:r>
      <w:r w:rsidR="00F722BE" w:rsidRPr="00C81BE4">
        <w:rPr>
          <w:noProof/>
        </w:rPr>
        <w:t xml:space="preserve">); </w:t>
      </w:r>
      <w:r w:rsidR="00594D73" w:rsidRPr="00C81BE4">
        <w:rPr>
          <w:noProof/>
        </w:rPr>
        <w:t xml:space="preserve">Министерството на отбраната – </w:t>
      </w:r>
      <w:r w:rsidR="00C81BE4" w:rsidRPr="00C81BE4">
        <w:rPr>
          <w:noProof/>
        </w:rPr>
        <w:t>3,1</w:t>
      </w:r>
      <w:r w:rsidR="009D5E05">
        <w:rPr>
          <w:noProof/>
        </w:rPr>
        <w:t xml:space="preserve"> </w:t>
      </w:r>
      <w:r w:rsidR="00594D73" w:rsidRPr="00C81BE4">
        <w:rPr>
          <w:noProof/>
        </w:rPr>
        <w:t>млн. лв. (</w:t>
      </w:r>
      <w:r w:rsidR="00641E21" w:rsidRPr="00C81BE4">
        <w:rPr>
          <w:noProof/>
        </w:rPr>
        <w:t xml:space="preserve">увеличение </w:t>
      </w:r>
      <w:r w:rsidR="00C81BE4" w:rsidRPr="00C81BE4">
        <w:rPr>
          <w:noProof/>
        </w:rPr>
        <w:t xml:space="preserve">с 0,5 млн. лв. </w:t>
      </w:r>
      <w:r w:rsidR="00641E21" w:rsidRPr="00C81BE4">
        <w:rPr>
          <w:noProof/>
        </w:rPr>
        <w:t>спрямо отчетените в края на 2022 г.</w:t>
      </w:r>
      <w:r w:rsidR="00594D73" w:rsidRPr="00C81BE4">
        <w:rPr>
          <w:noProof/>
        </w:rPr>
        <w:t xml:space="preserve">), в т.ч. </w:t>
      </w:r>
      <w:r w:rsidR="00C81BE4" w:rsidRPr="00C81BE4">
        <w:rPr>
          <w:noProof/>
        </w:rPr>
        <w:t>3,0</w:t>
      </w:r>
      <w:r w:rsidR="00594D73" w:rsidRPr="00C81BE4">
        <w:rPr>
          <w:noProof/>
        </w:rPr>
        <w:t xml:space="preserve"> млн. лв. на ВМА</w:t>
      </w:r>
      <w:r w:rsidR="00594D73" w:rsidRPr="00320E58">
        <w:t>;</w:t>
      </w:r>
      <w:r w:rsidR="00594D73" w:rsidRPr="00320E58">
        <w:rPr>
          <w:noProof/>
        </w:rPr>
        <w:t xml:space="preserve"> </w:t>
      </w:r>
      <w:r w:rsidR="00320E58" w:rsidRPr="00320E58">
        <w:rPr>
          <w:noProof/>
        </w:rPr>
        <w:t xml:space="preserve">Министерството на околната среда и водите – </w:t>
      </w:r>
      <w:r w:rsidR="00320E58">
        <w:rPr>
          <w:noProof/>
        </w:rPr>
        <w:t>2,9</w:t>
      </w:r>
      <w:r w:rsidR="00320E58" w:rsidRPr="00320E58">
        <w:rPr>
          <w:noProof/>
        </w:rPr>
        <w:t xml:space="preserve"> млн. лв. (</w:t>
      </w:r>
      <w:r w:rsidR="00320E58">
        <w:rPr>
          <w:noProof/>
        </w:rPr>
        <w:t>с малък спад на просрочията</w:t>
      </w:r>
      <w:r w:rsidR="00320E58" w:rsidRPr="00320E58">
        <w:rPr>
          <w:noProof/>
        </w:rPr>
        <w:t xml:space="preserve"> </w:t>
      </w:r>
      <w:r w:rsidR="00320E58" w:rsidRPr="00320E58">
        <w:t>спрямо края на 2022 </w:t>
      </w:r>
      <w:r w:rsidR="00320E58" w:rsidRPr="00527362">
        <w:t>г.</w:t>
      </w:r>
      <w:r w:rsidR="00320E58" w:rsidRPr="00527362">
        <w:rPr>
          <w:noProof/>
        </w:rPr>
        <w:t>)</w:t>
      </w:r>
      <w:r w:rsidR="00320E58" w:rsidRPr="00527362">
        <w:rPr>
          <w:lang w:val="ru-RU"/>
        </w:rPr>
        <w:t>;</w:t>
      </w:r>
      <w:r w:rsidR="00320E58" w:rsidRPr="00527362">
        <w:rPr>
          <w:noProof/>
        </w:rPr>
        <w:t xml:space="preserve"> </w:t>
      </w:r>
      <w:r w:rsidR="00D4432C" w:rsidRPr="00527362">
        <w:rPr>
          <w:noProof/>
        </w:rPr>
        <w:t>Министерството на младежта и спорта – 2,</w:t>
      </w:r>
      <w:r w:rsidR="00527362" w:rsidRPr="00527362">
        <w:rPr>
          <w:noProof/>
        </w:rPr>
        <w:t>5</w:t>
      </w:r>
      <w:r w:rsidR="00D4432C" w:rsidRPr="00527362">
        <w:rPr>
          <w:noProof/>
        </w:rPr>
        <w:t> млн. лв. (увеличение с 1,</w:t>
      </w:r>
      <w:r w:rsidR="00527362" w:rsidRPr="00527362">
        <w:rPr>
          <w:noProof/>
        </w:rPr>
        <w:t>8</w:t>
      </w:r>
      <w:r w:rsidR="004F78A3">
        <w:rPr>
          <w:noProof/>
        </w:rPr>
        <w:t> </w:t>
      </w:r>
      <w:r w:rsidR="00D4432C" w:rsidRPr="005B175D">
        <w:rPr>
          <w:noProof/>
        </w:rPr>
        <w:t>млн. лв. спрямо отчетените в края на 2022</w:t>
      </w:r>
      <w:r w:rsidR="00D4432C" w:rsidRPr="005B175D">
        <w:rPr>
          <w:noProof/>
          <w:lang w:val="en-US"/>
        </w:rPr>
        <w:t> </w:t>
      </w:r>
      <w:r w:rsidR="00D4432C" w:rsidRPr="005B175D">
        <w:rPr>
          <w:noProof/>
        </w:rPr>
        <w:t>г.</w:t>
      </w:r>
      <w:r w:rsidR="00D4432C" w:rsidRPr="005B175D">
        <w:rPr>
          <w:noProof/>
          <w:lang w:val="ru-RU"/>
        </w:rPr>
        <w:t>)</w:t>
      </w:r>
      <w:r w:rsidR="00D4432C" w:rsidRPr="005B175D">
        <w:rPr>
          <w:noProof/>
        </w:rPr>
        <w:t xml:space="preserve"> </w:t>
      </w:r>
      <w:r w:rsidR="00772D55" w:rsidRPr="005B175D">
        <w:rPr>
          <w:noProof/>
        </w:rPr>
        <w:t xml:space="preserve">и други. </w:t>
      </w:r>
      <w:r w:rsidRPr="005B175D">
        <w:rPr>
          <w:noProof/>
        </w:rPr>
        <w:t xml:space="preserve">От разпоредителите с бюджет по чл. 13, ал. 3 на Закона за публичните финанси </w:t>
      </w:r>
      <w:r w:rsidR="00BE16B1">
        <w:rPr>
          <w:noProof/>
        </w:rPr>
        <w:t>наличие</w:t>
      </w:r>
      <w:r w:rsidRPr="005B175D">
        <w:rPr>
          <w:noProof/>
        </w:rPr>
        <w:t xml:space="preserve"> на просрочени задължения има основно </w:t>
      </w:r>
      <w:r w:rsidRPr="00DA3EA8">
        <w:rPr>
          <w:noProof/>
        </w:rPr>
        <w:t xml:space="preserve">при </w:t>
      </w:r>
      <w:r w:rsidR="00380210" w:rsidRPr="00DA3EA8">
        <w:rPr>
          <w:noProof/>
        </w:rPr>
        <w:t xml:space="preserve">държавните висши училища – </w:t>
      </w:r>
      <w:r w:rsidR="005B175D" w:rsidRPr="00DA3EA8">
        <w:rPr>
          <w:noProof/>
        </w:rPr>
        <w:t>5,4</w:t>
      </w:r>
      <w:r w:rsidR="00D9744D" w:rsidRPr="00DA3EA8">
        <w:rPr>
          <w:noProof/>
        </w:rPr>
        <w:t xml:space="preserve"> млн. лв. (</w:t>
      </w:r>
      <w:r w:rsidR="005B175D" w:rsidRPr="00DA3EA8">
        <w:rPr>
          <w:noProof/>
        </w:rPr>
        <w:t>намаление</w:t>
      </w:r>
      <w:r w:rsidR="00CA6765" w:rsidRPr="00DA3EA8">
        <w:rPr>
          <w:noProof/>
        </w:rPr>
        <w:t xml:space="preserve"> </w:t>
      </w:r>
      <w:r w:rsidR="00D9744D" w:rsidRPr="00DA3EA8">
        <w:rPr>
          <w:noProof/>
        </w:rPr>
        <w:t xml:space="preserve">с </w:t>
      </w:r>
      <w:r w:rsidR="005B175D" w:rsidRPr="00DA3EA8">
        <w:rPr>
          <w:noProof/>
        </w:rPr>
        <w:t>1,9</w:t>
      </w:r>
      <w:r w:rsidR="00D9744D" w:rsidRPr="00DA3EA8">
        <w:rPr>
          <w:noProof/>
        </w:rPr>
        <w:t xml:space="preserve"> млн. лв. </w:t>
      </w:r>
      <w:r w:rsidR="00D9744D" w:rsidRPr="00DA3EA8">
        <w:t>спрямо отчетените в края на 202</w:t>
      </w:r>
      <w:r w:rsidR="00AE11ED" w:rsidRPr="00DA3EA8">
        <w:t>2</w:t>
      </w:r>
      <w:r w:rsidR="00D9744D" w:rsidRPr="00DA3EA8">
        <w:t xml:space="preserve"> г. и </w:t>
      </w:r>
      <w:r w:rsidR="00605251" w:rsidRPr="00DA3EA8">
        <w:t xml:space="preserve">представляват неплатени данък сгради и такса смет на общините от Софийския университет „Св. Климент Охридски“ </w:t>
      </w:r>
      <w:r w:rsidR="00DA3EA8" w:rsidRPr="00DA3EA8">
        <w:t xml:space="preserve">и надвнесени такси от студенти и специализанти на </w:t>
      </w:r>
      <w:r w:rsidR="00DA3EA8" w:rsidRPr="00403352">
        <w:t xml:space="preserve">Медицинския </w:t>
      </w:r>
      <w:r w:rsidR="00DA3EA8" w:rsidRPr="00CA31A0">
        <w:t>университет - София и Медицински университет – Плевен</w:t>
      </w:r>
      <w:r w:rsidR="00D9744D" w:rsidRPr="00CA31A0">
        <w:rPr>
          <w:noProof/>
        </w:rPr>
        <w:t xml:space="preserve">), </w:t>
      </w:r>
      <w:r w:rsidRPr="00CA31A0">
        <w:rPr>
          <w:noProof/>
        </w:rPr>
        <w:t xml:space="preserve">Българската национална телевизия – </w:t>
      </w:r>
      <w:r w:rsidR="00403352" w:rsidRPr="00CA31A0">
        <w:rPr>
          <w:noProof/>
        </w:rPr>
        <w:t>5,8</w:t>
      </w:r>
      <w:r w:rsidRPr="00CA31A0">
        <w:rPr>
          <w:noProof/>
        </w:rPr>
        <w:t xml:space="preserve"> млн. лв. (</w:t>
      </w:r>
      <w:r w:rsidR="00582103" w:rsidRPr="00CA31A0">
        <w:rPr>
          <w:noProof/>
        </w:rPr>
        <w:t xml:space="preserve">намаление </w:t>
      </w:r>
      <w:r w:rsidR="002A2161" w:rsidRPr="00CA31A0">
        <w:rPr>
          <w:noProof/>
        </w:rPr>
        <w:t xml:space="preserve">с </w:t>
      </w:r>
      <w:r w:rsidR="00403352" w:rsidRPr="00CA31A0">
        <w:rPr>
          <w:noProof/>
        </w:rPr>
        <w:t>1,5</w:t>
      </w:r>
      <w:r w:rsidRPr="00CA31A0">
        <w:rPr>
          <w:noProof/>
        </w:rPr>
        <w:t xml:space="preserve"> млн. лв. </w:t>
      </w:r>
      <w:r w:rsidRPr="00CA31A0">
        <w:t>спрямо отчетените в края на 202</w:t>
      </w:r>
      <w:r w:rsidR="00AE11ED" w:rsidRPr="00CA31A0">
        <w:t>2</w:t>
      </w:r>
      <w:r w:rsidRPr="00CA31A0">
        <w:t xml:space="preserve"> </w:t>
      </w:r>
      <w:r w:rsidRPr="008A4EDD">
        <w:t>г.</w:t>
      </w:r>
      <w:r w:rsidRPr="008A4EDD">
        <w:rPr>
          <w:noProof/>
        </w:rPr>
        <w:t xml:space="preserve">, като това са основно </w:t>
      </w:r>
      <w:r w:rsidRPr="008A4EDD">
        <w:t>просрочени задължения към доставчици в страната)</w:t>
      </w:r>
      <w:r w:rsidR="00A80BD2" w:rsidRPr="008A4EDD">
        <w:t xml:space="preserve"> и </w:t>
      </w:r>
      <w:r w:rsidRPr="008A4EDD">
        <w:rPr>
          <w:noProof/>
        </w:rPr>
        <w:t xml:space="preserve">Българското </w:t>
      </w:r>
      <w:r w:rsidRPr="009A3CFA">
        <w:rPr>
          <w:noProof/>
        </w:rPr>
        <w:t>национало радио – 2,</w:t>
      </w:r>
      <w:r w:rsidR="008A4EDD" w:rsidRPr="009A3CFA">
        <w:rPr>
          <w:noProof/>
        </w:rPr>
        <w:t>7</w:t>
      </w:r>
      <w:r w:rsidRPr="009A3CFA">
        <w:rPr>
          <w:noProof/>
        </w:rPr>
        <w:t xml:space="preserve"> млн. лв. (</w:t>
      </w:r>
      <w:r w:rsidR="003637A5" w:rsidRPr="009A3CFA">
        <w:rPr>
          <w:noProof/>
        </w:rPr>
        <w:t xml:space="preserve">увеличение с </w:t>
      </w:r>
      <w:r w:rsidR="003637A5" w:rsidRPr="009A3CFA">
        <w:rPr>
          <w:noProof/>
          <w:lang w:val="en-US"/>
        </w:rPr>
        <w:t>0</w:t>
      </w:r>
      <w:r w:rsidR="003637A5" w:rsidRPr="009A3CFA">
        <w:rPr>
          <w:noProof/>
        </w:rPr>
        <w:t>,</w:t>
      </w:r>
      <w:r w:rsidR="008A4EDD" w:rsidRPr="009A3CFA">
        <w:rPr>
          <w:noProof/>
        </w:rPr>
        <w:t>2</w:t>
      </w:r>
      <w:r w:rsidR="003637A5" w:rsidRPr="009A3CFA">
        <w:rPr>
          <w:noProof/>
        </w:rPr>
        <w:t xml:space="preserve"> млн. лв. спрямо просрочията в края на 2022 г.</w:t>
      </w:r>
      <w:r w:rsidR="00505568" w:rsidRPr="009A3CFA">
        <w:t>, като това са</w:t>
      </w:r>
      <w:r w:rsidR="008F29DC" w:rsidRPr="009A3CFA">
        <w:t xml:space="preserve"> основно</w:t>
      </w:r>
      <w:r w:rsidR="00505568" w:rsidRPr="009A3CFA">
        <w:t xml:space="preserve"> </w:t>
      </w:r>
      <w:r w:rsidR="00505568" w:rsidRPr="009A3CFA">
        <w:rPr>
          <w:szCs w:val="20"/>
        </w:rPr>
        <w:t>просрочени задължения за данъци, вноски, такси и административни санкции към Столична община за такса битови отпадъци за минали периоди</w:t>
      </w:r>
      <w:r w:rsidR="00D9744D" w:rsidRPr="00C43E0F">
        <w:t>)</w:t>
      </w:r>
      <w:r w:rsidRPr="00C43E0F">
        <w:rPr>
          <w:noProof/>
        </w:rPr>
        <w:t>.</w:t>
      </w:r>
      <w:r w:rsidR="00D822E5" w:rsidRPr="00C43E0F">
        <w:rPr>
          <w:noProof/>
        </w:rPr>
        <w:t xml:space="preserve"> От разпоредителите с бюджет по чл. 13, ал. 4 на Закона за публичните финанси наличие на просрочени задължения има при Държавно предприятие „На</w:t>
      </w:r>
      <w:r w:rsidR="002A2161" w:rsidRPr="00C43E0F">
        <w:rPr>
          <w:noProof/>
        </w:rPr>
        <w:t xml:space="preserve">учно-производствен център“ – </w:t>
      </w:r>
      <w:r w:rsidR="00C43E0F" w:rsidRPr="00C43E0F">
        <w:rPr>
          <w:noProof/>
        </w:rPr>
        <w:t>2,0</w:t>
      </w:r>
      <w:r w:rsidR="00D822E5" w:rsidRPr="00C43E0F">
        <w:rPr>
          <w:noProof/>
        </w:rPr>
        <w:t xml:space="preserve"> млн. лв. (увеличение с 0,</w:t>
      </w:r>
      <w:r w:rsidR="00C43E0F" w:rsidRPr="00C43E0F">
        <w:rPr>
          <w:noProof/>
        </w:rPr>
        <w:t>3</w:t>
      </w:r>
      <w:r w:rsidR="00D822E5" w:rsidRPr="00C43E0F">
        <w:rPr>
          <w:noProof/>
        </w:rPr>
        <w:t xml:space="preserve"> млн. лв. </w:t>
      </w:r>
      <w:r w:rsidR="00D822E5" w:rsidRPr="00C43E0F">
        <w:t>спрямо отчетените в края на 202</w:t>
      </w:r>
      <w:r w:rsidR="00AE11ED" w:rsidRPr="00C43E0F">
        <w:t>2</w:t>
      </w:r>
      <w:r w:rsidR="00D822E5" w:rsidRPr="00C43E0F">
        <w:t xml:space="preserve"> г.</w:t>
      </w:r>
      <w:r w:rsidR="00ED555E">
        <w:t xml:space="preserve">, </w:t>
      </w:r>
      <w:r w:rsidR="00ED555E" w:rsidRPr="00015007">
        <w:t>като тези задължения са към доставчици, персонал, за осигурителни вноски и данъци към МЗХ</w:t>
      </w:r>
      <w:r w:rsidR="006412EB" w:rsidRPr="00C43E0F">
        <w:rPr>
          <w:lang w:val="ru-RU"/>
        </w:rPr>
        <w:t>)</w:t>
      </w:r>
      <w:r w:rsidR="006412EB" w:rsidRPr="00C43E0F">
        <w:t>.</w:t>
      </w:r>
    </w:p>
    <w:p w14:paraId="493B3D33" w14:textId="07B9686C" w:rsidR="00EB3EAF" w:rsidRPr="00D56089" w:rsidRDefault="00EB3EAF" w:rsidP="00FB5967">
      <w:pPr>
        <w:spacing w:before="120" w:after="120"/>
        <w:jc w:val="both"/>
        <w:rPr>
          <w:noProof/>
          <w:color w:val="4F81BD" w:themeColor="accent1"/>
        </w:rPr>
      </w:pPr>
      <w:r w:rsidRPr="0096349B">
        <w:rPr>
          <w:noProof/>
        </w:rPr>
        <w:t xml:space="preserve">Просрочените задължения по </w:t>
      </w:r>
      <w:r w:rsidRPr="0096349B">
        <w:rPr>
          <w:b/>
          <w:noProof/>
        </w:rPr>
        <w:t>бюджетите на общините</w:t>
      </w:r>
      <w:r w:rsidRPr="0096349B">
        <w:rPr>
          <w:noProof/>
        </w:rPr>
        <w:t xml:space="preserve"> към </w:t>
      </w:r>
      <w:r w:rsidR="004961F1" w:rsidRPr="0096349B">
        <w:rPr>
          <w:noProof/>
          <w:lang w:val="en-US"/>
        </w:rPr>
        <w:t>31</w:t>
      </w:r>
      <w:r w:rsidRPr="0096349B">
        <w:rPr>
          <w:noProof/>
        </w:rPr>
        <w:t>.</w:t>
      </w:r>
      <w:r w:rsidR="004961F1" w:rsidRPr="0096349B">
        <w:rPr>
          <w:noProof/>
          <w:lang w:val="en-US"/>
        </w:rPr>
        <w:t>12</w:t>
      </w:r>
      <w:r w:rsidRPr="0096349B">
        <w:rPr>
          <w:noProof/>
        </w:rPr>
        <w:t>.202</w:t>
      </w:r>
      <w:r w:rsidR="002A2161" w:rsidRPr="0096349B">
        <w:rPr>
          <w:noProof/>
        </w:rPr>
        <w:t>3</w:t>
      </w:r>
      <w:r w:rsidRPr="0096349B">
        <w:rPr>
          <w:noProof/>
        </w:rPr>
        <w:t xml:space="preserve"> г. са в размер на </w:t>
      </w:r>
      <w:r w:rsidR="008F2CAF" w:rsidRPr="0096349B">
        <w:rPr>
          <w:b/>
          <w:noProof/>
        </w:rPr>
        <w:t>153,2 </w:t>
      </w:r>
      <w:r w:rsidRPr="0096349B">
        <w:rPr>
          <w:b/>
          <w:noProof/>
        </w:rPr>
        <w:t>млн. лв.,</w:t>
      </w:r>
      <w:r w:rsidRPr="0096349B">
        <w:rPr>
          <w:noProof/>
        </w:rPr>
        <w:t xml:space="preserve"> </w:t>
      </w:r>
      <w:r w:rsidR="00360FA0" w:rsidRPr="0096349B">
        <w:rPr>
          <w:noProof/>
        </w:rPr>
        <w:t>като нарастват с 62,2 млн. лв. спрямо края на предходната година</w:t>
      </w:r>
      <w:r w:rsidRPr="0096349B">
        <w:rPr>
          <w:noProof/>
        </w:rPr>
        <w:t xml:space="preserve">. С най-голям относителен дял в просрочените задължения по бюджетите на общините </w:t>
      </w:r>
      <w:r w:rsidR="0096349B" w:rsidRPr="0096349B">
        <w:rPr>
          <w:noProof/>
        </w:rPr>
        <w:t>за</w:t>
      </w:r>
      <w:r w:rsidRPr="0096349B">
        <w:rPr>
          <w:noProof/>
        </w:rPr>
        <w:t xml:space="preserve"> 202</w:t>
      </w:r>
      <w:r w:rsidR="002A2161" w:rsidRPr="0096349B">
        <w:rPr>
          <w:noProof/>
        </w:rPr>
        <w:t>3</w:t>
      </w:r>
      <w:r w:rsidRPr="0096349B">
        <w:rPr>
          <w:noProof/>
        </w:rPr>
        <w:t xml:space="preserve"> г. са просрочените задължения към доставчици, които са в размер на </w:t>
      </w:r>
      <w:r w:rsidR="0096349B" w:rsidRPr="0096349B">
        <w:rPr>
          <w:noProof/>
        </w:rPr>
        <w:t>119,1</w:t>
      </w:r>
      <w:r w:rsidRPr="0096349B">
        <w:rPr>
          <w:noProof/>
        </w:rPr>
        <w:t xml:space="preserve"> млн. лева. В делегираните от държавата дейности просрочените задължения са в размер на </w:t>
      </w:r>
      <w:r w:rsidR="0096349B" w:rsidRPr="0096349B">
        <w:rPr>
          <w:noProof/>
        </w:rPr>
        <w:t>1,9</w:t>
      </w:r>
      <w:r w:rsidRPr="0096349B">
        <w:rPr>
          <w:noProof/>
        </w:rPr>
        <w:t xml:space="preserve"> млн. лева.</w:t>
      </w:r>
    </w:p>
    <w:p w14:paraId="00A7A7E5" w14:textId="3039B81E" w:rsidR="00C45F7B" w:rsidRPr="000E5835" w:rsidRDefault="00C45F7B" w:rsidP="00C45F7B">
      <w:pPr>
        <w:spacing w:after="120"/>
        <w:jc w:val="both"/>
        <w:rPr>
          <w:highlight w:val="yellow"/>
          <w:lang w:val="en-US"/>
        </w:rPr>
      </w:pPr>
      <w:r w:rsidRPr="00C405B3">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w:t>
      </w:r>
      <w:r w:rsidRPr="005B16E7">
        <w:rPr>
          <w:noProof/>
        </w:rPr>
        <w:t>търговски дружества</w:t>
      </w:r>
      <w:r w:rsidR="00496D6D" w:rsidRPr="005B16E7">
        <w:rPr>
          <w:noProof/>
          <w:lang w:val="en-US"/>
        </w:rPr>
        <w:t>)</w:t>
      </w:r>
      <w:r w:rsidR="00496D6D" w:rsidRPr="005B16E7">
        <w:rPr>
          <w:noProof/>
        </w:rPr>
        <w:t>.</w:t>
      </w:r>
      <w:r w:rsidR="00C65FAA" w:rsidRPr="005B16E7">
        <w:rPr>
          <w:noProof/>
        </w:rPr>
        <w:t xml:space="preserve"> Към </w:t>
      </w:r>
      <w:r w:rsidR="00C405B3" w:rsidRPr="005B16E7">
        <w:rPr>
          <w:noProof/>
        </w:rPr>
        <w:t>31</w:t>
      </w:r>
      <w:r w:rsidR="00C65FAA" w:rsidRPr="005B16E7">
        <w:rPr>
          <w:noProof/>
        </w:rPr>
        <w:t>.</w:t>
      </w:r>
      <w:r w:rsidR="00C405B3" w:rsidRPr="005B16E7">
        <w:rPr>
          <w:noProof/>
        </w:rPr>
        <w:t>12</w:t>
      </w:r>
      <w:r w:rsidR="00C65FAA" w:rsidRPr="005B16E7">
        <w:rPr>
          <w:noProof/>
        </w:rPr>
        <w:t xml:space="preserve">.2023 г. размерът на просрочените задължения е </w:t>
      </w:r>
      <w:r w:rsidR="005B16E7" w:rsidRPr="005B16E7">
        <w:rPr>
          <w:noProof/>
          <w:lang w:val="en-US"/>
        </w:rPr>
        <w:t xml:space="preserve">56,3 </w:t>
      </w:r>
      <w:r w:rsidR="005B16E7" w:rsidRPr="005B16E7">
        <w:rPr>
          <w:noProof/>
        </w:rPr>
        <w:t xml:space="preserve">млн. лв., от които </w:t>
      </w:r>
      <w:r w:rsidR="005B16E7" w:rsidRPr="005B16E7">
        <w:rPr>
          <w:noProof/>
          <w:lang w:val="en-US"/>
        </w:rPr>
        <w:t xml:space="preserve">44,4 </w:t>
      </w:r>
      <w:r w:rsidR="005B16E7" w:rsidRPr="005B16E7">
        <w:rPr>
          <w:noProof/>
        </w:rPr>
        <w:t xml:space="preserve">млн. лв. са на държавните болници и </w:t>
      </w:r>
      <w:r w:rsidR="005B16E7" w:rsidRPr="005B16E7">
        <w:rPr>
          <w:noProof/>
          <w:lang w:val="en-US"/>
        </w:rPr>
        <w:t xml:space="preserve">11,9  </w:t>
      </w:r>
      <w:r w:rsidR="005B16E7" w:rsidRPr="005B16E7">
        <w:rPr>
          <w:noProof/>
        </w:rPr>
        <w:t xml:space="preserve">млн. лв. са на общинските болници. Спрямо </w:t>
      </w:r>
      <w:r w:rsidR="005B16E7" w:rsidRPr="00B950F8">
        <w:rPr>
          <w:noProof/>
        </w:rPr>
        <w:t xml:space="preserve">отчетените просрочени задължения към 31.12.2022 г. се отчита намаление с </w:t>
      </w:r>
      <w:r w:rsidR="005B16E7" w:rsidRPr="00B950F8">
        <w:rPr>
          <w:noProof/>
          <w:lang w:val="en-US"/>
        </w:rPr>
        <w:t xml:space="preserve">38,5 </w:t>
      </w:r>
      <w:r w:rsidR="005B16E7" w:rsidRPr="00B950F8">
        <w:rPr>
          <w:noProof/>
        </w:rPr>
        <w:t xml:space="preserve">млн. лв. (с </w:t>
      </w:r>
      <w:r w:rsidR="005B16E7" w:rsidRPr="00B950F8">
        <w:rPr>
          <w:noProof/>
          <w:lang w:val="en-US"/>
        </w:rPr>
        <w:t>41</w:t>
      </w:r>
      <w:r w:rsidR="005B16E7" w:rsidRPr="00B950F8">
        <w:rPr>
          <w:noProof/>
        </w:rPr>
        <w:t xml:space="preserve"> на </w:t>
      </w:r>
      <w:r w:rsidR="005B16E7" w:rsidRPr="005B16E7">
        <w:rPr>
          <w:noProof/>
        </w:rPr>
        <w:t>сто)</w:t>
      </w:r>
      <w:r w:rsidRPr="005B16E7">
        <w:t>.</w:t>
      </w:r>
    </w:p>
    <w:p w14:paraId="3AE0B1EA" w14:textId="77777777" w:rsidR="00BB059C" w:rsidRPr="00D56089" w:rsidRDefault="00BB059C" w:rsidP="00BB059C">
      <w:pPr>
        <w:ind w:firstLine="567"/>
        <w:jc w:val="both"/>
        <w:rPr>
          <w:noProof/>
          <w:color w:val="4F81BD" w:themeColor="accent1"/>
          <w:sz w:val="2"/>
          <w:szCs w:val="12"/>
          <w:lang w:val="en-US"/>
        </w:rPr>
      </w:pPr>
    </w:p>
    <w:p w14:paraId="591640EA" w14:textId="79D47827" w:rsidR="009C2594" w:rsidRPr="00CB21C2" w:rsidRDefault="009C2594" w:rsidP="00ED2B9A">
      <w:pPr>
        <w:pStyle w:val="BodyTextIndent"/>
        <w:numPr>
          <w:ilvl w:val="1"/>
          <w:numId w:val="12"/>
        </w:numPr>
        <w:tabs>
          <w:tab w:val="clear" w:pos="2160"/>
          <w:tab w:val="num" w:pos="720"/>
          <w:tab w:val="num" w:pos="900"/>
        </w:tabs>
        <w:spacing w:before="120" w:after="0"/>
        <w:ind w:left="720"/>
        <w:jc w:val="both"/>
        <w:rPr>
          <w:b/>
          <w:bCs/>
        </w:rPr>
      </w:pPr>
      <w:r w:rsidRPr="00CB21C2">
        <w:rPr>
          <w:b/>
          <w:bCs/>
        </w:rPr>
        <w:t>Разходи</w:t>
      </w:r>
      <w:r w:rsidR="007306DE">
        <w:rPr>
          <w:b/>
          <w:bCs/>
        </w:rPr>
        <w:t>, планирани</w:t>
      </w:r>
      <w:r w:rsidRPr="00CB21C2">
        <w:rPr>
          <w:b/>
          <w:bCs/>
        </w:rPr>
        <w:t xml:space="preserve"> по </w:t>
      </w:r>
      <w:r w:rsidR="00850FB1" w:rsidRPr="00CB21C2">
        <w:rPr>
          <w:b/>
          <w:bCs/>
        </w:rPr>
        <w:t>централн</w:t>
      </w:r>
      <w:r w:rsidRPr="00CB21C2">
        <w:rPr>
          <w:b/>
          <w:bCs/>
          <w:szCs w:val="26"/>
        </w:rPr>
        <w:t>ия бюджет</w:t>
      </w:r>
      <w:r w:rsidR="007306DE">
        <w:rPr>
          <w:b/>
          <w:bCs/>
          <w:szCs w:val="26"/>
        </w:rPr>
        <w:t>,</w:t>
      </w:r>
      <w:r w:rsidRPr="00CB21C2">
        <w:rPr>
          <w:b/>
          <w:bCs/>
          <w:szCs w:val="26"/>
        </w:rPr>
        <w:t xml:space="preserve"> </w:t>
      </w:r>
      <w:r w:rsidRPr="00CB21C2">
        <w:rPr>
          <w:b/>
          <w:bCs/>
        </w:rPr>
        <w:t>за субсидии</w:t>
      </w:r>
      <w:r w:rsidR="00F202DD" w:rsidRPr="00CB21C2">
        <w:rPr>
          <w:b/>
          <w:bCs/>
        </w:rPr>
        <w:t>,</w:t>
      </w:r>
      <w:r w:rsidR="0091667E" w:rsidRPr="00CB21C2">
        <w:rPr>
          <w:b/>
          <w:bCs/>
        </w:rPr>
        <w:t xml:space="preserve"> </w:t>
      </w:r>
      <w:r w:rsidR="00F202DD" w:rsidRPr="00CB21C2">
        <w:rPr>
          <w:b/>
          <w:bCs/>
        </w:rPr>
        <w:t xml:space="preserve">капиталови </w:t>
      </w:r>
      <w:r w:rsidR="00AF1CA0" w:rsidRPr="00CB21C2">
        <w:rPr>
          <w:b/>
          <w:bCs/>
        </w:rPr>
        <w:t>трансфери</w:t>
      </w:r>
      <w:r w:rsidR="00AF1CA0" w:rsidRPr="00CB21C2">
        <w:rPr>
          <w:bCs/>
        </w:rPr>
        <w:t xml:space="preserve"> </w:t>
      </w:r>
      <w:r w:rsidRPr="00CB21C2">
        <w:rPr>
          <w:b/>
          <w:bCs/>
        </w:rPr>
        <w:t xml:space="preserve">и други разходи, свързани с дейността на реалния сектор </w:t>
      </w:r>
    </w:p>
    <w:p w14:paraId="45C52D52" w14:textId="77777777" w:rsidR="009C2594" w:rsidRPr="00D56089" w:rsidRDefault="009C2594" w:rsidP="009C2594">
      <w:pPr>
        <w:pStyle w:val="Header"/>
        <w:jc w:val="both"/>
        <w:rPr>
          <w:color w:val="4F81BD" w:themeColor="accent1"/>
          <w:sz w:val="8"/>
          <w:szCs w:val="8"/>
        </w:rPr>
      </w:pPr>
    </w:p>
    <w:p w14:paraId="3868743D" w14:textId="77777777" w:rsidR="00411FD7" w:rsidRPr="00D56089" w:rsidRDefault="00411FD7" w:rsidP="00411FD7">
      <w:pPr>
        <w:pStyle w:val="Header"/>
        <w:ind w:firstLine="567"/>
        <w:jc w:val="both"/>
        <w:rPr>
          <w:color w:val="4F81BD" w:themeColor="accent1"/>
          <w:sz w:val="4"/>
          <w:szCs w:val="4"/>
        </w:rPr>
      </w:pPr>
    </w:p>
    <w:p w14:paraId="1A400CA6" w14:textId="77777777" w:rsidR="006F434D" w:rsidRPr="00CB21C2" w:rsidRDefault="006F434D" w:rsidP="006F434D">
      <w:pPr>
        <w:pStyle w:val="BodyText2"/>
        <w:spacing w:after="0" w:line="240" w:lineRule="auto"/>
        <w:ind w:firstLine="567"/>
        <w:jc w:val="both"/>
      </w:pPr>
      <w:r w:rsidRPr="00CB21C2">
        <w:t xml:space="preserve">Средствата за </w:t>
      </w:r>
      <w:r w:rsidRPr="00CB21C2">
        <w:rPr>
          <w:bCs/>
        </w:rPr>
        <w:t>субсидии</w:t>
      </w:r>
      <w:r w:rsidRPr="00CB21C2">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14:paraId="2631F088" w14:textId="77777777" w:rsidR="006F434D" w:rsidRPr="004312BB" w:rsidRDefault="004312BB" w:rsidP="006F434D">
      <w:pPr>
        <w:pStyle w:val="BodyTextIndent2"/>
        <w:spacing w:after="0" w:line="240" w:lineRule="auto"/>
        <w:ind w:left="0" w:firstLine="567"/>
        <w:jc w:val="both"/>
      </w:pPr>
      <w:r w:rsidRPr="004312BB">
        <w:t>През 2023 г. предоставените за тази цел средства са в размер на 188 млн. лв., в т.ч. за Столична община – в размер на 89 млн. лв. Средствата се разпределят по общини от Министерството на транспорта и съобщенията, с изключение на тези за Столична община</w:t>
      </w:r>
      <w:r w:rsidR="006F434D" w:rsidRPr="004312BB">
        <w:t xml:space="preserve">. </w:t>
      </w:r>
    </w:p>
    <w:p w14:paraId="64E55C08" w14:textId="77777777" w:rsidR="00F50783" w:rsidRPr="00F50783" w:rsidRDefault="00F50783" w:rsidP="006F434D">
      <w:pPr>
        <w:pStyle w:val="BodyTextIndent2"/>
        <w:spacing w:line="240" w:lineRule="auto"/>
        <w:ind w:left="0" w:firstLine="567"/>
        <w:jc w:val="both"/>
        <w:rPr>
          <w:noProof/>
        </w:rPr>
      </w:pPr>
      <w:r w:rsidRPr="00F50783">
        <w:rPr>
          <w:noProof/>
        </w:rPr>
        <w:t>С ПМС № 290/2023 г. са одобрени допълнителни средства в размер на 27 млн. лв. за извършване на плащания за прилагане на политиката по чл. 1, ал. 5, т. 13.4 от Закона за държавния бюджет на Република България за 2022 г. чрез трансфери за други целеви разходи на общините за субсидиране на превоз на пътниците по междуселищни автобусни линии извън тези по § 4, ал.</w:t>
      </w:r>
      <w:r w:rsidR="002552B6">
        <w:rPr>
          <w:noProof/>
        </w:rPr>
        <w:t> </w:t>
      </w:r>
      <w:r w:rsidRPr="00F50783">
        <w:rPr>
          <w:noProof/>
        </w:rPr>
        <w:t>1 и 2 от Заключителните разпоредби на Закона за автомобилните превози. Средствата са усвоени изцяло.</w:t>
      </w:r>
    </w:p>
    <w:p w14:paraId="4E089BD0" w14:textId="4F438C26" w:rsidR="006F434D" w:rsidRPr="00CF7A5B" w:rsidRDefault="006F434D" w:rsidP="007F5506">
      <w:pPr>
        <w:ind w:firstLine="567"/>
        <w:jc w:val="both"/>
      </w:pPr>
      <w:r w:rsidRPr="00593A40">
        <w:rPr>
          <w:b/>
          <w:i/>
        </w:rPr>
        <w:t>Капиталовите трансфери</w:t>
      </w:r>
      <w:r w:rsidRPr="00593A40">
        <w:t xml:space="preserve"> по централния бюджет към </w:t>
      </w:r>
      <w:r w:rsidR="00593A40" w:rsidRPr="00593A40">
        <w:t>31</w:t>
      </w:r>
      <w:r w:rsidRPr="00593A40">
        <w:t>.</w:t>
      </w:r>
      <w:r w:rsidR="00593A40" w:rsidRPr="00593A40">
        <w:t>12</w:t>
      </w:r>
      <w:r w:rsidRPr="00593A40">
        <w:t xml:space="preserve">.2023 г. са в размер на </w:t>
      </w:r>
      <w:r w:rsidR="0059324C" w:rsidRPr="00593A40">
        <w:t xml:space="preserve">0,682 млн. лв. </w:t>
      </w:r>
      <w:r w:rsidRPr="00593A40">
        <w:t xml:space="preserve">и са изразходени в изпълнение на Програмите за отстраняване на нанесени щети </w:t>
      </w:r>
      <w:r w:rsidRPr="00593A40">
        <w:rPr>
          <w:noProof/>
        </w:rPr>
        <w:t xml:space="preserve">върху </w:t>
      </w:r>
      <w:r w:rsidRPr="00CF7A5B">
        <w:rPr>
          <w:noProof/>
        </w:rPr>
        <w:t>околната среда</w:t>
      </w:r>
      <w:r w:rsidRPr="00CF7A5B">
        <w:t>, настъпили от минали действия или бездействия при приватизация.</w:t>
      </w:r>
    </w:p>
    <w:p w14:paraId="3B4E4C89" w14:textId="77777777" w:rsidR="006F434D" w:rsidRPr="00151FC1" w:rsidRDefault="006F434D" w:rsidP="007F5506">
      <w:pPr>
        <w:tabs>
          <w:tab w:val="left" w:pos="0"/>
          <w:tab w:val="left" w:pos="142"/>
          <w:tab w:val="left" w:pos="284"/>
          <w:tab w:val="left" w:pos="720"/>
        </w:tabs>
        <w:ind w:firstLine="567"/>
        <w:jc w:val="both"/>
        <w:rPr>
          <w:lang w:eastAsia="bg-BG"/>
        </w:rPr>
      </w:pPr>
      <w:r w:rsidRPr="00CF7A5B">
        <w:rPr>
          <w:lang w:eastAsia="bg-BG"/>
        </w:rPr>
        <w:t>Следва да се има предвид, че през месец май е представено в Министерство на финансите искане за плащане на стойност 0,307 млн. лева, които не са изплатени към настоящия момент, поради изчакване на становище относно приложимостта на приетите през 2023 г. ограничителни мерки с оглед на действията на Русия, дестабилизиращи положението в Украйна и по отношение на действия, подкопаващи или застрашаващи териториалната цялост, суверенитета и независимостта на Украйна към програмата за отстраняване на минали екологични щети на „Лукойл Нефтохим – Бургас“ АД.</w:t>
      </w:r>
      <w:r w:rsidRPr="00CF7A5B">
        <w:rPr>
          <w:lang w:val="en-US" w:eastAsia="bg-BG"/>
        </w:rPr>
        <w:t xml:space="preserve"> </w:t>
      </w:r>
      <w:r w:rsidRPr="00CF7A5B">
        <w:rPr>
          <w:lang w:eastAsia="bg-BG"/>
        </w:rPr>
        <w:t xml:space="preserve">По същата програма предстои да постъпят в централния бюджет средства от реализиран полезен продукт, получен в резултат от почистването на Обект </w:t>
      </w:r>
      <w:r w:rsidRPr="00151FC1">
        <w:rPr>
          <w:lang w:val="en-US" w:eastAsia="bg-BG"/>
        </w:rPr>
        <w:t>I</w:t>
      </w:r>
      <w:r w:rsidRPr="00151FC1">
        <w:rPr>
          <w:lang w:eastAsia="bg-BG"/>
        </w:rPr>
        <w:t>.2 в размер на 0,216 млн. лв.</w:t>
      </w:r>
    </w:p>
    <w:p w14:paraId="45DAF2AB" w14:textId="70714667" w:rsidR="006F434D" w:rsidRPr="00151FC1" w:rsidRDefault="000161C6" w:rsidP="007F5506">
      <w:pPr>
        <w:ind w:firstLine="567"/>
        <w:jc w:val="both"/>
      </w:pPr>
      <w:r>
        <w:rPr>
          <w:lang w:eastAsia="bg-BG"/>
        </w:rPr>
        <w:t xml:space="preserve">Не са </w:t>
      </w:r>
      <w:r w:rsidRPr="00151FC1">
        <w:rPr>
          <w:lang w:eastAsia="bg-BG"/>
        </w:rPr>
        <w:t xml:space="preserve">оползотворени </w:t>
      </w:r>
      <w:r>
        <w:rPr>
          <w:lang w:eastAsia="bg-BG"/>
        </w:rPr>
        <w:t>п</w:t>
      </w:r>
      <w:r w:rsidRPr="00151FC1">
        <w:rPr>
          <w:lang w:eastAsia="bg-BG"/>
        </w:rPr>
        <w:t xml:space="preserve">редвидените разходи в централния бюджет за 2023 г. </w:t>
      </w:r>
      <w:r>
        <w:rPr>
          <w:lang w:eastAsia="bg-BG"/>
        </w:rPr>
        <w:t>по</w:t>
      </w:r>
      <w:r w:rsidRPr="00151FC1">
        <w:rPr>
          <w:lang w:eastAsia="bg-BG"/>
        </w:rPr>
        <w:t xml:space="preserve"> програмите на „Хармони 2012“ ЕООД и на „Агрополихим“ АД – гр. Девня“, поради забавяне изпълнението</w:t>
      </w:r>
      <w:r>
        <w:rPr>
          <w:lang w:eastAsia="bg-BG"/>
        </w:rPr>
        <w:t xml:space="preserve"> им,</w:t>
      </w:r>
      <w:r w:rsidRPr="00151FC1">
        <w:rPr>
          <w:lang w:eastAsia="bg-BG"/>
        </w:rPr>
        <w:t xml:space="preserve"> както и забавян</w:t>
      </w:r>
      <w:r>
        <w:rPr>
          <w:lang w:eastAsia="bg-BG"/>
        </w:rPr>
        <w:t>о е</w:t>
      </w:r>
      <w:r w:rsidRPr="00151FC1">
        <w:rPr>
          <w:lang w:eastAsia="bg-BG"/>
        </w:rPr>
        <w:t xml:space="preserve"> изпълнението на програма за Обект </w:t>
      </w:r>
      <w:r w:rsidRPr="00151FC1">
        <w:rPr>
          <w:lang w:val="en-US" w:eastAsia="bg-BG"/>
        </w:rPr>
        <w:t>I</w:t>
      </w:r>
      <w:r w:rsidRPr="00151FC1">
        <w:rPr>
          <w:lang w:eastAsia="bg-BG"/>
        </w:rPr>
        <w:t>.3 на „Лукойл Нефтохим – Бургас“ АД</w:t>
      </w:r>
      <w:r w:rsidR="00CA56AC" w:rsidRPr="00151FC1">
        <w:rPr>
          <w:lang w:eastAsia="bg-BG"/>
        </w:rPr>
        <w:t>.</w:t>
      </w:r>
    </w:p>
    <w:p w14:paraId="7B9C6E39" w14:textId="77777777" w:rsidR="006F434D" w:rsidRPr="00CF35E4" w:rsidRDefault="006F434D" w:rsidP="00867040">
      <w:pPr>
        <w:spacing w:before="120" w:after="120"/>
        <w:ind w:firstLine="567"/>
        <w:jc w:val="both"/>
      </w:pPr>
      <w:r w:rsidRPr="00151FC1">
        <w:rPr>
          <w:bCs/>
        </w:rPr>
        <w:t xml:space="preserve">По централния бюджет са предвидени и </w:t>
      </w:r>
      <w:r w:rsidRPr="00151FC1">
        <w:rPr>
          <w:b/>
          <w:bCs/>
        </w:rPr>
        <w:t>други разходи</w:t>
      </w:r>
      <w:r w:rsidRPr="00151FC1">
        <w:rPr>
          <w:bCs/>
        </w:rPr>
        <w:t>, свързани с к</w:t>
      </w:r>
      <w:r w:rsidRPr="00151FC1">
        <w:t xml:space="preserve">омпенсиране със </w:t>
      </w:r>
      <w:r w:rsidRPr="00CF35E4">
        <w:t xml:space="preserve">средства от държавния бюджет на </w:t>
      </w:r>
      <w:r w:rsidRPr="00CF35E4">
        <w:rPr>
          <w:bCs/>
        </w:rPr>
        <w:t>намалените приходи от прилагането на цени за пътуване, предвидени в нормативни актове за определени категории пътници</w:t>
      </w:r>
      <w:r w:rsidRPr="00CF35E4">
        <w:t xml:space="preserve"> по железопътния и автомобилния транспорт. Средствата </w:t>
      </w:r>
      <w:r w:rsidRPr="00CF35E4">
        <w:rPr>
          <w:bCs/>
        </w:rPr>
        <w:t xml:space="preserve">се предоставят на „БДЖ-Пътнически превози“ ЕООД за компенсации за пътувания с железопътния транспорт и под формата на целеви трансфер на общините - </w:t>
      </w:r>
      <w:r w:rsidRPr="00CF35E4">
        <w:t xml:space="preserve">за автомобилния транспорт. </w:t>
      </w:r>
    </w:p>
    <w:p w14:paraId="3B3D7452" w14:textId="1583D52A" w:rsidR="006F434D" w:rsidRPr="005668CE" w:rsidRDefault="006F434D" w:rsidP="006F434D">
      <w:pPr>
        <w:tabs>
          <w:tab w:val="left" w:pos="851"/>
        </w:tabs>
        <w:ind w:firstLine="567"/>
        <w:jc w:val="both"/>
        <w:rPr>
          <w:sz w:val="8"/>
          <w:szCs w:val="8"/>
        </w:rPr>
      </w:pPr>
      <w:r w:rsidRPr="00D56089">
        <w:rPr>
          <w:color w:val="4F81BD" w:themeColor="accent1"/>
        </w:rPr>
        <w:t xml:space="preserve"> </w:t>
      </w:r>
      <w:r w:rsidR="00C67202" w:rsidRPr="00DD01BA">
        <w:t xml:space="preserve">Предоставените средства през 2023 г. са общо в размер на </w:t>
      </w:r>
      <w:r w:rsidR="00C67202" w:rsidRPr="00DD01BA">
        <w:rPr>
          <w:lang w:val="ru-RU"/>
        </w:rPr>
        <w:t>153</w:t>
      </w:r>
      <w:r w:rsidR="00B61AFF">
        <w:rPr>
          <w:lang w:val="ru-RU"/>
        </w:rPr>
        <w:t>,</w:t>
      </w:r>
      <w:r w:rsidR="00C67202" w:rsidRPr="00DD01BA">
        <w:rPr>
          <w:lang w:val="ru-RU"/>
        </w:rPr>
        <w:t>8</w:t>
      </w:r>
      <w:r w:rsidR="00C67202" w:rsidRPr="00DD01BA">
        <w:t xml:space="preserve"> млн. лв., </w:t>
      </w:r>
      <w:r w:rsidR="00B61AFF" w:rsidRPr="00DD01BA">
        <w:t>в</w:t>
      </w:r>
      <w:r w:rsidR="00B61AFF">
        <w:t>кл</w:t>
      </w:r>
      <w:r w:rsidR="00C67202" w:rsidRPr="00DD01BA">
        <w:t>. за вътрешноградския транспорт, междуселищния автомобилен транспорт и железопътния транспорт</w:t>
      </w:r>
      <w:r w:rsidRPr="005668CE">
        <w:t xml:space="preserve">. </w:t>
      </w:r>
    </w:p>
    <w:p w14:paraId="3FA4521E" w14:textId="77777777" w:rsidR="005668CE" w:rsidRPr="00E21ABA" w:rsidRDefault="005668CE" w:rsidP="006F434D">
      <w:pPr>
        <w:tabs>
          <w:tab w:val="left" w:pos="851"/>
        </w:tabs>
        <w:ind w:firstLine="567"/>
        <w:jc w:val="both"/>
      </w:pPr>
      <w:r w:rsidRPr="005668CE">
        <w:t xml:space="preserve">Допълнително с ПМС № 290/2023 г. са одобрени средства в размер на 73 млн. лв. за изпълнението на §§ 2 и 3 от същото постановление, представляващи средства за пътувания с вътрешноградския транспорт и междуселищния автомобилен транспорт. Средствата са усвоени изцяло. С това общият размер на усвоените средства за компенсиране на намалените приходи от прилагането на цени за пътуване, предвидени в нормативни актове за определени категории </w:t>
      </w:r>
      <w:r w:rsidRPr="00E21ABA">
        <w:t xml:space="preserve">пътници, е увеличен на </w:t>
      </w:r>
      <w:r w:rsidRPr="00E21ABA">
        <w:rPr>
          <w:lang w:val="ru-RU"/>
        </w:rPr>
        <w:t>226,8</w:t>
      </w:r>
      <w:r w:rsidRPr="00E21ABA">
        <w:t xml:space="preserve"> млн. лв. през 2023 година.</w:t>
      </w:r>
    </w:p>
    <w:p w14:paraId="1DEF2B0F" w14:textId="77777777" w:rsidR="006F434D" w:rsidRPr="00E21ABA" w:rsidRDefault="006F434D" w:rsidP="006F434D">
      <w:pPr>
        <w:tabs>
          <w:tab w:val="left" w:pos="851"/>
        </w:tabs>
        <w:ind w:firstLine="567"/>
        <w:jc w:val="both"/>
      </w:pPr>
      <w:r w:rsidRPr="00E21ABA">
        <w:t xml:space="preserve">Предоставените средства към </w:t>
      </w:r>
      <w:r w:rsidR="00E21ABA" w:rsidRPr="00E21ABA">
        <w:t xml:space="preserve">31.12.2023 </w:t>
      </w:r>
      <w:r w:rsidRPr="00E21ABA">
        <w:t xml:space="preserve">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E21ABA">
        <w:rPr>
          <w:noProof/>
        </w:rPr>
        <w:t xml:space="preserve">вътрешноградски транспорт и междуселищен </w:t>
      </w:r>
      <w:r w:rsidRPr="00E21ABA">
        <w:t>автомобилен транспорт или железопътен транспорт са както следва:</w:t>
      </w:r>
    </w:p>
    <w:p w14:paraId="7B538FF9" w14:textId="77777777" w:rsidR="00981E8E" w:rsidRPr="00DD01BA" w:rsidRDefault="00981E8E" w:rsidP="00981E8E">
      <w:pPr>
        <w:ind w:firstLine="567"/>
        <w:jc w:val="both"/>
      </w:pPr>
      <w:r w:rsidRPr="00DD01BA">
        <w:t xml:space="preserve">- компенсации за пътувания с железопътния транспорт в размер на 10,1 млн. лв.; </w:t>
      </w:r>
    </w:p>
    <w:p w14:paraId="4FC74622" w14:textId="77777777" w:rsidR="00981E8E" w:rsidRPr="00DD01BA" w:rsidRDefault="00981E8E" w:rsidP="00981E8E">
      <w:pPr>
        <w:tabs>
          <w:tab w:val="left" w:pos="540"/>
          <w:tab w:val="left" w:pos="709"/>
        </w:tabs>
        <w:ind w:firstLine="567"/>
        <w:jc w:val="both"/>
        <w:rPr>
          <w:noProof/>
        </w:rPr>
      </w:pPr>
      <w:r w:rsidRPr="00DD01BA">
        <w:rPr>
          <w:noProof/>
        </w:rPr>
        <w:t>- 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216,7</w:t>
      </w:r>
      <w:r w:rsidR="006A0BEE">
        <w:rPr>
          <w:noProof/>
        </w:rPr>
        <w:t> </w:t>
      </w:r>
      <w:r w:rsidRPr="00DD01BA">
        <w:rPr>
          <w:noProof/>
        </w:rPr>
        <w:t xml:space="preserve">млн. лв. </w:t>
      </w:r>
    </w:p>
    <w:p w14:paraId="2ADA57CD" w14:textId="77777777" w:rsidR="00981E8E" w:rsidRPr="00DD01BA" w:rsidRDefault="00981E8E" w:rsidP="00981E8E">
      <w:pPr>
        <w:ind w:firstLine="567"/>
        <w:jc w:val="both"/>
        <w:rPr>
          <w:noProof/>
        </w:rPr>
      </w:pPr>
      <w:r w:rsidRPr="00DD01BA">
        <w:rPr>
          <w:noProof/>
        </w:rPr>
        <w:t xml:space="preserve">Предоставените средства за </w:t>
      </w:r>
      <w:r w:rsidRPr="00DD01BA">
        <w:t>компенсиране на намалените приходи от прилагането на цени за пътуване, предвидени в нормативни актове за определени категории пътници,</w:t>
      </w:r>
      <w:r w:rsidRPr="00DD01BA">
        <w:rPr>
          <w:noProof/>
        </w:rPr>
        <w:t xml:space="preserve"> по вътрешноградския транспорт и междуселищния автомобилен транспорт през 2023 г., диференцирани по групи правоимащи лица и </w:t>
      </w:r>
      <w:r>
        <w:rPr>
          <w:noProof/>
        </w:rPr>
        <w:t xml:space="preserve">по </w:t>
      </w:r>
      <w:r w:rsidRPr="00DD01BA">
        <w:rPr>
          <w:noProof/>
        </w:rPr>
        <w:t>размер на намалението спрямо редовната цена, са както следва:</w:t>
      </w:r>
    </w:p>
    <w:p w14:paraId="156717F6" w14:textId="77777777" w:rsidR="00981E8E" w:rsidRPr="00DD01BA" w:rsidRDefault="00981E8E" w:rsidP="00981E8E">
      <w:pPr>
        <w:ind w:firstLine="567"/>
        <w:jc w:val="both"/>
      </w:pPr>
      <w:r w:rsidRPr="00DD01BA">
        <w:t xml:space="preserve">- 62,7 млн. лв. за транспорт на деца и ученици; </w:t>
      </w:r>
    </w:p>
    <w:p w14:paraId="2F0EEC98" w14:textId="77777777" w:rsidR="00981E8E" w:rsidRPr="00DD01BA" w:rsidRDefault="00981E8E" w:rsidP="00981E8E">
      <w:pPr>
        <w:tabs>
          <w:tab w:val="left" w:pos="1026"/>
        </w:tabs>
        <w:ind w:firstLine="567"/>
        <w:jc w:val="both"/>
      </w:pPr>
      <w:r w:rsidRPr="00DD01BA">
        <w:t>- 154 млн. лв. за безплатни и по намалени цени пътувания по общини, в това число:</w:t>
      </w:r>
    </w:p>
    <w:p w14:paraId="6A974DD8" w14:textId="77777777" w:rsidR="00981E8E" w:rsidRPr="00DD01BA" w:rsidRDefault="00981E8E" w:rsidP="00981E8E">
      <w:pPr>
        <w:numPr>
          <w:ilvl w:val="0"/>
          <w:numId w:val="30"/>
        </w:numPr>
        <w:tabs>
          <w:tab w:val="left" w:pos="993"/>
        </w:tabs>
        <w:jc w:val="both"/>
      </w:pPr>
      <w:r w:rsidRPr="00DD01BA">
        <w:t xml:space="preserve">64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w:t>
      </w:r>
    </w:p>
    <w:p w14:paraId="49925460" w14:textId="77777777" w:rsidR="00981E8E" w:rsidRPr="00DD01BA" w:rsidRDefault="00981E8E" w:rsidP="00981E8E">
      <w:pPr>
        <w:numPr>
          <w:ilvl w:val="0"/>
          <w:numId w:val="30"/>
        </w:numPr>
        <w:tabs>
          <w:tab w:val="left" w:pos="993"/>
        </w:tabs>
        <w:jc w:val="both"/>
      </w:pPr>
      <w:r w:rsidRPr="00DD01BA">
        <w:t>17 млн. лв. за превоз на служители, ползващи право на безплатно пътуване при изпълнение на служебните си задължения;</w:t>
      </w:r>
    </w:p>
    <w:p w14:paraId="0DBBB8DA" w14:textId="77777777" w:rsidR="00981E8E" w:rsidRPr="00DD01BA" w:rsidRDefault="00981E8E" w:rsidP="00981E8E">
      <w:pPr>
        <w:numPr>
          <w:ilvl w:val="0"/>
          <w:numId w:val="30"/>
        </w:numPr>
        <w:tabs>
          <w:tab w:val="left" w:pos="993"/>
        </w:tabs>
        <w:jc w:val="both"/>
      </w:pPr>
      <w:r w:rsidRPr="00DD01BA">
        <w:t>73 млн. лв. за пътувания с вътрешноградския транспорт и междуселищния автомобилен транспорт в съответствие с ПМС № 290/2023 г.</w:t>
      </w:r>
    </w:p>
    <w:p w14:paraId="75AF2BBB" w14:textId="77777777" w:rsidR="00333B5E" w:rsidRPr="00D56089" w:rsidRDefault="00333B5E" w:rsidP="00333B5E">
      <w:pPr>
        <w:jc w:val="both"/>
        <w:rPr>
          <w:color w:val="4F81BD" w:themeColor="accent1"/>
          <w:sz w:val="12"/>
          <w:szCs w:val="12"/>
          <w:lang w:val="en-US"/>
        </w:rPr>
      </w:pPr>
    </w:p>
    <w:p w14:paraId="5C2D8909" w14:textId="77777777" w:rsidR="00772EF8" w:rsidRPr="00B52563" w:rsidRDefault="00772EF8" w:rsidP="00772EF8">
      <w:pPr>
        <w:numPr>
          <w:ilvl w:val="0"/>
          <w:numId w:val="7"/>
        </w:numPr>
        <w:spacing w:after="120"/>
        <w:ind w:left="0" w:firstLine="360"/>
        <w:jc w:val="both"/>
        <w:rPr>
          <w:b/>
        </w:rPr>
      </w:pPr>
      <w:r w:rsidRPr="00B52563">
        <w:rPr>
          <w:b/>
        </w:rPr>
        <w:t xml:space="preserve">Разходи за лихви </w:t>
      </w:r>
    </w:p>
    <w:p w14:paraId="59EF11E2" w14:textId="77777777" w:rsidR="00B52563" w:rsidRPr="00B52563" w:rsidRDefault="00B52563" w:rsidP="00B52563">
      <w:pPr>
        <w:spacing w:after="60"/>
        <w:jc w:val="both"/>
        <w:rPr>
          <w:lang w:eastAsia="bg-BG"/>
        </w:rPr>
      </w:pPr>
      <w:r w:rsidRPr="00B52563">
        <w:rPr>
          <w:b/>
          <w:lang w:eastAsia="bg-BG"/>
        </w:rPr>
        <w:t xml:space="preserve">Лихвените плащания </w:t>
      </w:r>
      <w:r w:rsidRPr="00B52563">
        <w:rPr>
          <w:lang w:eastAsia="bg-BG"/>
        </w:rPr>
        <w:t xml:space="preserve">по държавния бюджет към </w:t>
      </w:r>
      <w:r w:rsidRPr="00B52563">
        <w:rPr>
          <w:lang w:val="ru-RU" w:eastAsia="bg-BG"/>
        </w:rPr>
        <w:t>31.12.2023</w:t>
      </w:r>
      <w:r w:rsidRPr="00B52563">
        <w:rPr>
          <w:lang w:eastAsia="bg-BG"/>
        </w:rPr>
        <w:t xml:space="preserve"> г. са в общ размер на </w:t>
      </w:r>
      <w:r w:rsidRPr="00B52563">
        <w:rPr>
          <w:b/>
          <w:lang w:eastAsia="bg-BG"/>
        </w:rPr>
        <w:t>782,2 млн. лв</w:t>
      </w:r>
      <w:r w:rsidRPr="00B52563">
        <w:rPr>
          <w:lang w:eastAsia="bg-BG"/>
        </w:rPr>
        <w:t>. или 99,8 % от предвидените в годишните разчети.</w:t>
      </w:r>
    </w:p>
    <w:p w14:paraId="438DEF5B" w14:textId="77777777" w:rsidR="00B52563" w:rsidRPr="00B52563" w:rsidRDefault="00B52563" w:rsidP="00B52563">
      <w:pPr>
        <w:spacing w:after="120"/>
        <w:jc w:val="both"/>
        <w:rPr>
          <w:lang w:eastAsia="bg-BG"/>
        </w:rPr>
      </w:pPr>
      <w:r w:rsidRPr="00B52563">
        <w:rPr>
          <w:lang w:eastAsia="bg-BG"/>
        </w:rPr>
        <w:t xml:space="preserve">Разходите за </w:t>
      </w:r>
      <w:r w:rsidRPr="00B52563">
        <w:rPr>
          <w:b/>
          <w:lang w:eastAsia="bg-BG"/>
        </w:rPr>
        <w:t>лихви по външни заеми</w:t>
      </w:r>
      <w:r w:rsidRPr="00B52563">
        <w:rPr>
          <w:lang w:eastAsia="bg-BG"/>
        </w:rPr>
        <w:t xml:space="preserve"> са в размер на </w:t>
      </w:r>
      <w:r w:rsidRPr="00B52563">
        <w:rPr>
          <w:lang w:val="ru-RU" w:eastAsia="bg-BG"/>
        </w:rPr>
        <w:t>665,0</w:t>
      </w:r>
      <w:r w:rsidRPr="00B52563">
        <w:rPr>
          <w:lang w:eastAsia="bg-BG"/>
        </w:rPr>
        <w:t xml:space="preserve"> млн. лв., в т.ч. 645,1 млн. лв. по централния бюджет. Разходите за лихви по ДИЗ, управлявани от министерства и ведомства, са в размер на 19,9 млн. лева </w:t>
      </w:r>
      <w:r w:rsidRPr="00B52563">
        <w:rPr>
          <w:lang w:val="ru-RU" w:eastAsia="bg-BG"/>
        </w:rPr>
        <w:t>(</w:t>
      </w:r>
      <w:r w:rsidRPr="00B52563">
        <w:rPr>
          <w:lang w:eastAsia="bg-BG"/>
        </w:rPr>
        <w:t>о</w:t>
      </w:r>
      <w:r w:rsidRPr="00B52563">
        <w:rPr>
          <w:lang w:val="ru-RU" w:eastAsia="bg-BG"/>
        </w:rPr>
        <w:t xml:space="preserve">т тях </w:t>
      </w:r>
      <w:r w:rsidRPr="00B52563">
        <w:rPr>
          <w:lang w:eastAsia="bg-BG"/>
        </w:rPr>
        <w:t>1,3</w:t>
      </w:r>
      <w:r w:rsidRPr="00B52563">
        <w:rPr>
          <w:lang w:val="ru-RU" w:eastAsia="bg-BG"/>
        </w:rPr>
        <w:t xml:space="preserve"> млн. лв. са лихвите </w:t>
      </w:r>
      <w:r w:rsidRPr="00B52563">
        <w:rPr>
          <w:lang w:eastAsia="bg-BG"/>
        </w:rPr>
        <w:t xml:space="preserve">по </w:t>
      </w:r>
      <w:r w:rsidRPr="00B52563">
        <w:rPr>
          <w:lang w:val="ru-RU" w:eastAsia="bg-BG"/>
        </w:rPr>
        <w:t>заемите с краен бенефициент - търговско дружество)</w:t>
      </w:r>
      <w:r w:rsidRPr="00B52563">
        <w:rPr>
          <w:lang w:eastAsia="bg-BG"/>
        </w:rPr>
        <w:t xml:space="preserve">. </w:t>
      </w:r>
    </w:p>
    <w:p w14:paraId="3724513F" w14:textId="77777777" w:rsidR="00B52563" w:rsidRPr="00B52563" w:rsidRDefault="00B52563" w:rsidP="00B52563">
      <w:pPr>
        <w:spacing w:after="120"/>
        <w:jc w:val="both"/>
        <w:rPr>
          <w:b/>
          <w:lang w:eastAsia="bg-BG"/>
        </w:rPr>
      </w:pPr>
      <w:r w:rsidRPr="00B52563">
        <w:rPr>
          <w:lang w:eastAsia="bg-BG"/>
        </w:rPr>
        <w:t>През отчетния период не са използвани средства за покриване на риска от активиране на държавни гаранции.</w:t>
      </w:r>
      <w:r w:rsidRPr="00B52563">
        <w:rPr>
          <w:b/>
          <w:lang w:eastAsia="bg-BG"/>
        </w:rPr>
        <w:t xml:space="preserve"> </w:t>
      </w:r>
    </w:p>
    <w:p w14:paraId="074DB9E7" w14:textId="77777777" w:rsidR="00B52563" w:rsidRPr="00B52563" w:rsidRDefault="00B52563" w:rsidP="00B52563">
      <w:pPr>
        <w:spacing w:after="60"/>
        <w:jc w:val="both"/>
        <w:rPr>
          <w:lang w:eastAsia="bg-BG"/>
        </w:rPr>
      </w:pPr>
      <w:r w:rsidRPr="00B52563">
        <w:rPr>
          <w:b/>
          <w:lang w:eastAsia="bg-BG"/>
        </w:rPr>
        <w:t>Лихвите по вътрешни заеми</w:t>
      </w:r>
      <w:r w:rsidRPr="00B52563">
        <w:rPr>
          <w:lang w:eastAsia="bg-BG"/>
        </w:rPr>
        <w:t xml:space="preserve"> по държавния бюджет </w:t>
      </w:r>
      <w:r w:rsidRPr="00B52563">
        <w:rPr>
          <w:bCs/>
          <w:lang w:eastAsia="bg-BG"/>
        </w:rPr>
        <w:t>към декември 2023</w:t>
      </w:r>
      <w:r w:rsidRPr="00B52563">
        <w:rPr>
          <w:lang w:eastAsia="bg-BG"/>
        </w:rPr>
        <w:t xml:space="preserve"> г. са в размер на </w:t>
      </w:r>
      <w:r w:rsidRPr="00B52563">
        <w:rPr>
          <w:b/>
          <w:lang w:eastAsia="bg-BG"/>
        </w:rPr>
        <w:t>117,1 млн. лв.</w:t>
      </w:r>
      <w:r w:rsidRPr="00B52563">
        <w:rPr>
          <w:lang w:eastAsia="bg-BG"/>
        </w:rPr>
        <w:t xml:space="preserve"> и представляват основно лихви по емисии на ДЦК на вътрешния пазар. </w:t>
      </w:r>
    </w:p>
    <w:p w14:paraId="4BE1887E" w14:textId="77777777" w:rsidR="00B52563" w:rsidRPr="00B52563" w:rsidRDefault="00B52563" w:rsidP="00B52563">
      <w:pPr>
        <w:numPr>
          <w:ilvl w:val="0"/>
          <w:numId w:val="22"/>
        </w:numPr>
        <w:tabs>
          <w:tab w:val="left" w:pos="426"/>
        </w:tabs>
        <w:spacing w:before="120" w:after="60"/>
        <w:ind w:left="0" w:firstLine="0"/>
        <w:jc w:val="both"/>
        <w:rPr>
          <w:b/>
          <w:bCs/>
          <w:lang w:eastAsia="bg-BG"/>
        </w:rPr>
      </w:pPr>
      <w:r w:rsidRPr="00B52563">
        <w:rPr>
          <w:b/>
          <w:bCs/>
          <w:lang w:eastAsia="bg-BG"/>
        </w:rPr>
        <w:t>Нетният размер на трансферите по държавния бюджет</w:t>
      </w:r>
      <w:r w:rsidRPr="00B52563">
        <w:rPr>
          <w:bCs/>
          <w:lang w:eastAsia="bg-BG"/>
        </w:rPr>
        <w:t xml:space="preserve">  към декември 2023</w:t>
      </w:r>
      <w:r w:rsidRPr="00B52563">
        <w:rPr>
          <w:lang w:eastAsia="bg-BG"/>
        </w:rPr>
        <w:t xml:space="preserve"> г.</w:t>
      </w:r>
      <w:r w:rsidRPr="00B52563">
        <w:rPr>
          <w:bCs/>
          <w:lang w:eastAsia="bg-BG"/>
        </w:rPr>
        <w:t xml:space="preserve"> е</w:t>
      </w:r>
      <w:r w:rsidRPr="00B52563">
        <w:rPr>
          <w:b/>
          <w:bCs/>
          <w:lang w:eastAsia="bg-BG"/>
        </w:rPr>
        <w:t xml:space="preserve"> 23 643,9</w:t>
      </w:r>
      <w:r w:rsidRPr="00B52563">
        <w:rPr>
          <w:rFonts w:eastAsia="Calibri"/>
          <w:b/>
        </w:rPr>
        <w:t> </w:t>
      </w:r>
      <w:r w:rsidRPr="00B52563">
        <w:rPr>
          <w:b/>
          <w:bCs/>
          <w:lang w:eastAsia="bg-BG"/>
        </w:rPr>
        <w:t xml:space="preserve">млн. лв.,  </w:t>
      </w:r>
      <w:r w:rsidRPr="00B52563">
        <w:rPr>
          <w:bCs/>
          <w:lang w:eastAsia="bg-BG"/>
        </w:rPr>
        <w:t>в т.ч.:</w:t>
      </w:r>
      <w:r w:rsidRPr="00B52563">
        <w:rPr>
          <w:b/>
          <w:bCs/>
          <w:lang w:eastAsia="bg-BG"/>
        </w:rPr>
        <w:t xml:space="preserve"> </w:t>
      </w:r>
    </w:p>
    <w:p w14:paraId="263E1EBE" w14:textId="77777777" w:rsidR="00B52563" w:rsidRPr="00B52563" w:rsidRDefault="00B52563" w:rsidP="00B52563">
      <w:pPr>
        <w:numPr>
          <w:ilvl w:val="0"/>
          <w:numId w:val="18"/>
        </w:numPr>
        <w:tabs>
          <w:tab w:val="clear" w:pos="700"/>
          <w:tab w:val="left" w:pos="180"/>
          <w:tab w:val="num" w:pos="1495"/>
          <w:tab w:val="num" w:pos="9858"/>
        </w:tabs>
        <w:ind w:left="538" w:hanging="357"/>
        <w:jc w:val="both"/>
        <w:rPr>
          <w:lang w:eastAsia="bg-BG"/>
        </w:rPr>
      </w:pPr>
      <w:r w:rsidRPr="00B52563">
        <w:rPr>
          <w:lang w:eastAsia="bg-BG"/>
        </w:rPr>
        <w:t>бюджетните  взаимоотношения  с  общините  включват  нето трансфери  и временни безлихвени заеми в  размер  на 9 325,2 млн. лв.,</w:t>
      </w:r>
      <w:r w:rsidRPr="00B52563">
        <w:rPr>
          <w:lang w:val="ru-RU" w:eastAsia="bg-BG"/>
        </w:rPr>
        <w:t xml:space="preserve"> </w:t>
      </w:r>
      <w:r w:rsidRPr="00B52563">
        <w:rPr>
          <w:lang w:eastAsia="bg-BG"/>
        </w:rPr>
        <w:t>от които субсидии от централния бюджет в размер на 7 274,3 млн. лв., други целеви трансфери от централния бюджет в размер на 929,6 млн. лв., нетни трансфери от/за други бюджети в размер на 1 158,2 млн. лв. и възстановени трансфери от предходни години в централния бюджет – 36,9 млн. лева;</w:t>
      </w:r>
    </w:p>
    <w:p w14:paraId="382E381D" w14:textId="77777777" w:rsidR="00B52563" w:rsidRPr="00B52563" w:rsidRDefault="00B52563" w:rsidP="00B52563">
      <w:pPr>
        <w:numPr>
          <w:ilvl w:val="0"/>
          <w:numId w:val="18"/>
        </w:numPr>
        <w:tabs>
          <w:tab w:val="clear" w:pos="700"/>
          <w:tab w:val="left" w:pos="180"/>
          <w:tab w:val="num" w:pos="1495"/>
          <w:tab w:val="num" w:pos="9858"/>
        </w:tabs>
        <w:ind w:left="538" w:hanging="357"/>
        <w:jc w:val="both"/>
        <w:rPr>
          <w:lang w:eastAsia="bg-BG"/>
        </w:rPr>
      </w:pPr>
      <w:r w:rsidRPr="00B52563">
        <w:rPr>
          <w:lang w:eastAsia="bg-BG"/>
        </w:rPr>
        <w:t>на социалноосигурителните фондове (нето) – 12 796,5 млн. лв., което представлява 96,4 % от годишния разчет;</w:t>
      </w:r>
    </w:p>
    <w:p w14:paraId="602B8940" w14:textId="6FB8E3EA" w:rsidR="00B52563" w:rsidRPr="00B52563" w:rsidRDefault="00B52563" w:rsidP="00B52563">
      <w:pPr>
        <w:numPr>
          <w:ilvl w:val="0"/>
          <w:numId w:val="18"/>
        </w:numPr>
        <w:tabs>
          <w:tab w:val="clear" w:pos="700"/>
          <w:tab w:val="left" w:pos="180"/>
          <w:tab w:val="num" w:pos="1495"/>
          <w:tab w:val="num" w:pos="9858"/>
        </w:tabs>
        <w:ind w:left="538" w:hanging="357"/>
        <w:jc w:val="both"/>
        <w:rPr>
          <w:lang w:eastAsia="bg-BG"/>
        </w:rPr>
      </w:pPr>
      <w:r w:rsidRPr="00B52563">
        <w:rPr>
          <w:lang w:eastAsia="bg-BG"/>
        </w:rPr>
        <w:t xml:space="preserve">на други автономни бюджети (ДВУ, БАН, ССА, БНТ, БНР и БТА) – 1 325,1 млн. лв., 118,7 % спрямо годишния разчет. Високият процент на нарастване на средствата се </w:t>
      </w:r>
      <w:r w:rsidRPr="00B52563">
        <w:rPr>
          <w:bCs/>
          <w:lang w:eastAsia="bg-BG"/>
        </w:rPr>
        <w:t xml:space="preserve">дължи основно на получени допълнителни трансфери за сметка на предвидените разходи по чл. 1, ал. 5. от ЗДБРБ за 2023 г. за изпълнение на политики </w:t>
      </w:r>
      <w:r w:rsidR="004E7FA0" w:rsidRPr="004E7FA0">
        <w:rPr>
          <w:bCs/>
          <w:lang w:eastAsia="bg-BG"/>
        </w:rPr>
        <w:t>главно</w:t>
      </w:r>
      <w:r w:rsidR="004E7FA0">
        <w:rPr>
          <w:bCs/>
          <w:sz w:val="28"/>
          <w:szCs w:val="28"/>
          <w:lang w:eastAsia="bg-BG"/>
        </w:rPr>
        <w:t xml:space="preserve"> </w:t>
      </w:r>
      <w:r w:rsidRPr="00B52563">
        <w:rPr>
          <w:bCs/>
          <w:lang w:eastAsia="bg-BG"/>
        </w:rPr>
        <w:t xml:space="preserve">в </w:t>
      </w:r>
      <w:r w:rsidRPr="00B52563">
        <w:rPr>
          <w:lang w:eastAsia="bg-BG"/>
        </w:rPr>
        <w:t>областите „Наука“ и „Образование“.</w:t>
      </w:r>
    </w:p>
    <w:p w14:paraId="013D387E" w14:textId="77777777" w:rsidR="00B52563" w:rsidRPr="00B52563" w:rsidRDefault="00B52563" w:rsidP="00B52563">
      <w:pPr>
        <w:numPr>
          <w:ilvl w:val="0"/>
          <w:numId w:val="6"/>
        </w:numPr>
        <w:tabs>
          <w:tab w:val="clear" w:pos="7650"/>
          <w:tab w:val="left" w:pos="426"/>
          <w:tab w:val="num" w:pos="786"/>
        </w:tabs>
        <w:spacing w:before="120"/>
        <w:ind w:left="0" w:firstLine="0"/>
        <w:jc w:val="both"/>
        <w:rPr>
          <w:bCs/>
          <w:lang w:eastAsia="bg-BG"/>
        </w:rPr>
      </w:pPr>
      <w:r w:rsidRPr="00B52563">
        <w:rPr>
          <w:lang w:eastAsia="bg-BG"/>
        </w:rPr>
        <w:t>Частта от</w:t>
      </w:r>
      <w:r w:rsidRPr="00B52563">
        <w:rPr>
          <w:b/>
          <w:lang w:eastAsia="bg-BG"/>
        </w:rPr>
        <w:t xml:space="preserve"> вноската на Република България в общия бюджет на ЕС, </w:t>
      </w:r>
      <w:r w:rsidRPr="00B52563">
        <w:rPr>
          <w:lang w:eastAsia="bg-BG"/>
        </w:rPr>
        <w:t>изплатена към 31.12.2023 г. от централния бюджет, възлиза на</w:t>
      </w:r>
      <w:r w:rsidRPr="00B52563">
        <w:rPr>
          <w:b/>
          <w:lang w:eastAsia="bg-BG"/>
        </w:rPr>
        <w:t xml:space="preserve"> 1 849,9 млн. лева.</w:t>
      </w:r>
      <w:r w:rsidRPr="00B52563">
        <w:rPr>
          <w:lang w:eastAsia="bg-BG"/>
        </w:rPr>
        <w:t xml:space="preserve"> </w:t>
      </w:r>
    </w:p>
    <w:p w14:paraId="24ACDDE4" w14:textId="77777777" w:rsidR="00B52563" w:rsidRPr="00B52563" w:rsidRDefault="00B52563" w:rsidP="00B52563">
      <w:pPr>
        <w:numPr>
          <w:ilvl w:val="0"/>
          <w:numId w:val="6"/>
        </w:numPr>
        <w:tabs>
          <w:tab w:val="clear" w:pos="7650"/>
          <w:tab w:val="num" w:pos="426"/>
          <w:tab w:val="num" w:pos="786"/>
        </w:tabs>
        <w:spacing w:before="240" w:after="240"/>
        <w:ind w:left="0" w:firstLine="0"/>
        <w:jc w:val="both"/>
        <w:rPr>
          <w:sz w:val="16"/>
          <w:szCs w:val="16"/>
          <w:lang w:eastAsia="bg-BG"/>
        </w:rPr>
      </w:pPr>
      <w:r w:rsidRPr="00B52563">
        <w:rPr>
          <w:b/>
          <w:lang w:eastAsia="bg-BG"/>
        </w:rPr>
        <w:t>Бюджетното салдо по държавния бюджет</w:t>
      </w:r>
      <w:r w:rsidRPr="00B52563">
        <w:rPr>
          <w:lang w:eastAsia="bg-BG"/>
        </w:rPr>
        <w:t xml:space="preserve"> към </w:t>
      </w:r>
      <w:r w:rsidRPr="00B52563">
        <w:rPr>
          <w:lang w:val="ru-RU" w:eastAsia="bg-BG"/>
        </w:rPr>
        <w:t>31.12.2023</w:t>
      </w:r>
      <w:r w:rsidRPr="00B52563">
        <w:rPr>
          <w:lang w:eastAsia="bg-BG"/>
        </w:rPr>
        <w:t xml:space="preserve"> г. </w:t>
      </w:r>
      <w:r w:rsidRPr="00B52563">
        <w:rPr>
          <w:b/>
          <w:lang w:eastAsia="bg-BG"/>
        </w:rPr>
        <w:t>е отрицателно</w:t>
      </w:r>
      <w:r w:rsidRPr="00B52563">
        <w:rPr>
          <w:lang w:eastAsia="bg-BG"/>
        </w:rPr>
        <w:t xml:space="preserve"> в размер на </w:t>
      </w:r>
      <w:r w:rsidRPr="00B52563">
        <w:rPr>
          <w:b/>
          <w:lang w:eastAsia="bg-BG"/>
        </w:rPr>
        <w:t>5 275,2 млн. лева</w:t>
      </w:r>
      <w:r w:rsidRPr="00B52563">
        <w:rPr>
          <w:lang w:eastAsia="bg-BG"/>
        </w:rPr>
        <w:t xml:space="preserve">. </w:t>
      </w:r>
    </w:p>
    <w:p w14:paraId="16C93C70" w14:textId="77777777" w:rsidR="00B52563" w:rsidRPr="00B52563" w:rsidRDefault="00B52563" w:rsidP="00B52563">
      <w:pPr>
        <w:numPr>
          <w:ilvl w:val="0"/>
          <w:numId w:val="6"/>
        </w:numPr>
        <w:tabs>
          <w:tab w:val="clear" w:pos="7650"/>
          <w:tab w:val="num" w:pos="426"/>
          <w:tab w:val="num" w:pos="786"/>
        </w:tabs>
        <w:spacing w:before="240" w:after="240"/>
        <w:ind w:left="0" w:firstLine="0"/>
        <w:jc w:val="both"/>
        <w:rPr>
          <w:b/>
          <w:lang w:eastAsia="bg-BG"/>
        </w:rPr>
      </w:pPr>
      <w:r w:rsidRPr="00B52563">
        <w:rPr>
          <w:b/>
          <w:lang w:eastAsia="bg-BG"/>
        </w:rPr>
        <w:t>Финансиране на бюджета чрез операции по дълга</w:t>
      </w:r>
    </w:p>
    <w:p w14:paraId="4120540A" w14:textId="77777777" w:rsidR="00B52563" w:rsidRPr="00B52563" w:rsidRDefault="00B52563" w:rsidP="00B52563">
      <w:pPr>
        <w:spacing w:after="120"/>
        <w:jc w:val="both"/>
        <w:rPr>
          <w:lang w:eastAsia="bg-BG"/>
        </w:rPr>
      </w:pPr>
      <w:r w:rsidRPr="00B52563">
        <w:rPr>
          <w:lang w:eastAsia="bg-BG"/>
        </w:rPr>
        <w:t>Към 31.12.2023 г. е отчетено положително нетно външно финансиране по централния бюджет в размер на 4 744,1 млн. лева.</w:t>
      </w:r>
    </w:p>
    <w:p w14:paraId="1044E06F" w14:textId="77777777" w:rsidR="00B52563" w:rsidRPr="00B52563" w:rsidRDefault="00B52563" w:rsidP="00B52563">
      <w:pPr>
        <w:spacing w:after="120"/>
        <w:jc w:val="both"/>
        <w:rPr>
          <w:lang w:eastAsia="bg-BG"/>
        </w:rPr>
      </w:pPr>
      <w:r w:rsidRPr="00B52563">
        <w:rPr>
          <w:b/>
          <w:lang w:eastAsia="bg-BG"/>
        </w:rPr>
        <w:t>Постъпленията по централния бюджет</w:t>
      </w:r>
      <w:r w:rsidRPr="00B52563">
        <w:rPr>
          <w:lang w:eastAsia="bg-BG"/>
        </w:rPr>
        <w:t xml:space="preserve"> възлизат на 7 277,0 млн. лв. На 23.01.2023 г. постъпиха средствата от емитирания единичен 10-годишен транш еврооблигации по GMTN програмата в размер от 1 500 млн. евро номинална стойност, при лихвен купон 4,5 %, а на 13.11.2023 г. постъпиха средствата от емитираните по GMTN програмата двоен транш облигации, деноминирани в евро, с обем от 2 300 млн. евро съвкупна номинална стойност, в т.ч. първият транш еврооблигации е със срочност 7,5 г.,  обем от 1 300 млн. евро и лихвен купон от 4,375 %, а вторият транш – 12,5 г., обем от 1 000 млн. евро и лихвен купон в размер на 4,875 %.</w:t>
      </w:r>
    </w:p>
    <w:p w14:paraId="3D62C78F" w14:textId="77777777" w:rsidR="00B52563" w:rsidRPr="00B52563" w:rsidRDefault="00B52563" w:rsidP="00B52563">
      <w:pPr>
        <w:spacing w:after="120"/>
        <w:jc w:val="both"/>
        <w:rPr>
          <w:color w:val="0070C0"/>
          <w:lang w:eastAsia="bg-BG"/>
        </w:rPr>
      </w:pPr>
      <w:r w:rsidRPr="00B52563">
        <w:rPr>
          <w:b/>
          <w:lang w:eastAsia="bg-BG"/>
        </w:rPr>
        <w:t xml:space="preserve">Извършените погашения от централен бюджет възлизат </w:t>
      </w:r>
      <w:r w:rsidRPr="00B52563">
        <w:rPr>
          <w:lang w:eastAsia="bg-BG"/>
        </w:rPr>
        <w:t>на 2 532,9 млн. лв.,</w:t>
      </w:r>
      <w:r w:rsidRPr="00B52563">
        <w:rPr>
          <w:b/>
          <w:lang w:eastAsia="bg-BG"/>
        </w:rPr>
        <w:t xml:space="preserve"> </w:t>
      </w:r>
      <w:r w:rsidRPr="00B52563">
        <w:rPr>
          <w:lang w:eastAsia="bg-BG"/>
        </w:rPr>
        <w:t>като на 21 март са изплатени 1 144 млн. евро номинална стойност (2 197,0 млн. лв. главница) в полза на държателите на седемгодишни еврооблигации на Република България, които са част от емитираните по GMTN програмата през март 2016 г. на МКП два транша еврооблигации; 133,5 млн. лв. са извършените погашения към международни финансови институции (59,5 млн. лв. към Международната банка за възстановяване и развитие /МБВР/, 64,2 млн. лв. към Европейска инвестиционна банка и 9,8 млн. лв. към Банка за развитие на Съвета на Европа). През месец декември са изплатени 202,4 млн. лв. (103,5 млн. евро) по падежирал 10-годишен държавен прехвърляем заем (Schuldscheindarlehen) с кредитор Дойче Банк Акциенгезелтшафт.</w:t>
      </w:r>
    </w:p>
    <w:p w14:paraId="118E8C7F" w14:textId="77777777" w:rsidR="00B52563" w:rsidRPr="00B52563" w:rsidRDefault="00B52563" w:rsidP="00B52563">
      <w:pPr>
        <w:spacing w:before="120" w:after="120"/>
        <w:jc w:val="both"/>
      </w:pPr>
      <w:r w:rsidRPr="00B52563">
        <w:rPr>
          <w:lang w:eastAsia="bg-BG"/>
        </w:rPr>
        <w:t xml:space="preserve">По </w:t>
      </w:r>
      <w:r w:rsidRPr="00B52563">
        <w:rPr>
          <w:b/>
          <w:lang w:eastAsia="bg-BG"/>
        </w:rPr>
        <w:t xml:space="preserve">държавните инвестиционни заеми </w:t>
      </w:r>
      <w:r w:rsidRPr="00B52563">
        <w:rPr>
          <w:lang w:eastAsia="bg-BG"/>
        </w:rPr>
        <w:t xml:space="preserve">(ДИЗ), управлявани от министерства и ведомства, през отчетния период няма </w:t>
      </w:r>
      <w:r w:rsidRPr="00B52563">
        <w:rPr>
          <w:b/>
          <w:i/>
          <w:lang w:eastAsia="bg-BG"/>
        </w:rPr>
        <w:t>усвоени</w:t>
      </w:r>
      <w:r w:rsidRPr="00B52563">
        <w:rPr>
          <w:lang w:eastAsia="bg-BG"/>
        </w:rPr>
        <w:t xml:space="preserve"> средства</w:t>
      </w:r>
      <w:r w:rsidRPr="00B52563">
        <w:t xml:space="preserve">. </w:t>
      </w:r>
    </w:p>
    <w:p w14:paraId="24B0ABEC" w14:textId="77777777" w:rsidR="00B52563" w:rsidRPr="00B52563" w:rsidRDefault="00B52563" w:rsidP="00B52563">
      <w:pPr>
        <w:spacing w:after="120"/>
        <w:jc w:val="both"/>
      </w:pPr>
      <w:r w:rsidRPr="00B52563">
        <w:rPr>
          <w:b/>
          <w:i/>
          <w:lang w:eastAsia="bg-BG"/>
        </w:rPr>
        <w:t>Изплатените погашения</w:t>
      </w:r>
      <w:r w:rsidRPr="00B52563">
        <w:rPr>
          <w:lang w:eastAsia="bg-BG"/>
        </w:rPr>
        <w:t xml:space="preserve"> по ДИЗ, управлявани от министерства и ведомства, са в размер на </w:t>
      </w:r>
      <w:r w:rsidRPr="00B52563">
        <w:rPr>
          <w:b/>
          <w:lang w:eastAsia="bg-BG"/>
        </w:rPr>
        <w:t>105,5 млн. лв.</w:t>
      </w:r>
      <w:r w:rsidRPr="00B52563">
        <w:rPr>
          <w:lang w:eastAsia="bg-BG"/>
        </w:rPr>
        <w:t xml:space="preserve"> По заемите с краен бенефициент търговско дружество извършените погашения са в размер на </w:t>
      </w:r>
      <w:r w:rsidRPr="00B52563">
        <w:rPr>
          <w:lang w:val="ru-RU" w:eastAsia="bg-BG"/>
        </w:rPr>
        <w:t>9,3</w:t>
      </w:r>
      <w:r w:rsidRPr="00B52563">
        <w:rPr>
          <w:lang w:eastAsia="bg-BG"/>
        </w:rPr>
        <w:t xml:space="preserve"> млн. лева. </w:t>
      </w:r>
    </w:p>
    <w:p w14:paraId="28C030A9" w14:textId="77777777" w:rsidR="00B52563" w:rsidRPr="00B52563" w:rsidRDefault="00B52563" w:rsidP="00B52563">
      <w:pPr>
        <w:spacing w:after="120"/>
        <w:jc w:val="both"/>
        <w:rPr>
          <w:lang w:eastAsia="bg-BG"/>
        </w:rPr>
      </w:pPr>
      <w:r w:rsidRPr="00B52563">
        <w:rPr>
          <w:lang w:eastAsia="bg-BG"/>
        </w:rPr>
        <w:t>Не са използвани средства, предвидени за покриване на риска от активиране на държавни гаранции.</w:t>
      </w:r>
    </w:p>
    <w:p w14:paraId="70179883" w14:textId="77777777" w:rsidR="00B52563" w:rsidRPr="00B52563" w:rsidRDefault="00B52563" w:rsidP="00B52563">
      <w:pPr>
        <w:spacing w:after="60"/>
        <w:jc w:val="both"/>
        <w:rPr>
          <w:lang w:eastAsia="bg-BG"/>
        </w:rPr>
      </w:pPr>
      <w:r w:rsidRPr="00B52563">
        <w:rPr>
          <w:lang w:eastAsia="bg-BG"/>
        </w:rPr>
        <w:t xml:space="preserve">Операции с </w:t>
      </w:r>
      <w:r w:rsidRPr="00B52563">
        <w:rPr>
          <w:b/>
          <w:lang w:eastAsia="bg-BG"/>
        </w:rPr>
        <w:t xml:space="preserve">държавни ценни книжа </w:t>
      </w:r>
      <w:r w:rsidRPr="00B52563">
        <w:rPr>
          <w:lang w:eastAsia="bg-BG"/>
        </w:rPr>
        <w:t xml:space="preserve">по централния бюджет </w:t>
      </w:r>
      <w:r w:rsidRPr="00B52563">
        <w:rPr>
          <w:b/>
          <w:lang w:eastAsia="bg-BG"/>
        </w:rPr>
        <w:t>(позиция във вътрешното финансиране):</w:t>
      </w:r>
      <w:r w:rsidRPr="00B52563">
        <w:rPr>
          <w:lang w:eastAsia="bg-BG"/>
        </w:rPr>
        <w:t xml:space="preserve"> Към 31 декември 2023 г. е отчетено отрицателно нетно вътрешно финансиране на държавния бюджет с ДЦК в размер на 350 млн. лв., което се дължи на извършените погашения по вътрешния държавен дълг през м. юли на емисия 10,5-годишни ДЦК от 2013 г. с обем от 350 млн. лв. номинална стойност без провеждане аукциони на емисии ДЦК за финансиране на бюджета, респективно няма постъпления от емисии на ДЦК на вътрешния пазар.</w:t>
      </w:r>
    </w:p>
    <w:p w14:paraId="5442C09E" w14:textId="77777777" w:rsidR="0004753C" w:rsidRPr="00FC2ADD" w:rsidRDefault="0004753C" w:rsidP="00ED2B9A">
      <w:pPr>
        <w:pStyle w:val="Heading1"/>
        <w:numPr>
          <w:ilvl w:val="1"/>
          <w:numId w:val="9"/>
        </w:numPr>
        <w:spacing w:before="240" w:after="120"/>
        <w:ind w:right="-108" w:hanging="357"/>
        <w:jc w:val="both"/>
        <w:rPr>
          <w:sz w:val="24"/>
        </w:rPr>
      </w:pPr>
      <w:r w:rsidRPr="00FC2ADD">
        <w:rPr>
          <w:sz w:val="24"/>
        </w:rPr>
        <w:t>Бюджет на съдебната власт</w:t>
      </w:r>
    </w:p>
    <w:p w14:paraId="1FE43DF3" w14:textId="6C3678CD" w:rsidR="002763DB" w:rsidRPr="00D56089" w:rsidRDefault="002763DB" w:rsidP="00B5493B">
      <w:pPr>
        <w:jc w:val="both"/>
        <w:rPr>
          <w:color w:val="4F81BD" w:themeColor="accent1"/>
        </w:rPr>
      </w:pPr>
      <w:r w:rsidRPr="00FC2ADD">
        <w:t>За 202</w:t>
      </w:r>
      <w:r w:rsidR="00337851" w:rsidRPr="00FC2ADD">
        <w:t>3</w:t>
      </w:r>
      <w:r w:rsidRPr="00FC2ADD">
        <w:t xml:space="preserve"> г.</w:t>
      </w:r>
      <w:r w:rsidR="00337851" w:rsidRPr="00FC2ADD">
        <w:t xml:space="preserve"> по бюджета на съдебната власт</w:t>
      </w:r>
      <w:r w:rsidRPr="00FC2ADD">
        <w:t xml:space="preserve"> са отчетени </w:t>
      </w:r>
      <w:r w:rsidRPr="00FC2ADD">
        <w:rPr>
          <w:b/>
        </w:rPr>
        <w:t>приходи</w:t>
      </w:r>
      <w:r w:rsidRPr="00FC2ADD">
        <w:t xml:space="preserve"> в размер на </w:t>
      </w:r>
      <w:r w:rsidR="00FC2ADD" w:rsidRPr="00FC2ADD">
        <w:t xml:space="preserve">100,0 </w:t>
      </w:r>
      <w:r w:rsidRPr="00FC2ADD">
        <w:t>млн</w:t>
      </w:r>
      <w:r w:rsidR="00337851" w:rsidRPr="00FC2ADD">
        <w:t>. лв.</w:t>
      </w:r>
      <w:r w:rsidRPr="00FC2ADD">
        <w:t xml:space="preserve">, от които </w:t>
      </w:r>
      <w:r w:rsidR="00FC2ADD" w:rsidRPr="00FC2ADD">
        <w:t>83,7</w:t>
      </w:r>
      <w:r w:rsidR="00074744" w:rsidRPr="00FC2ADD">
        <w:t> </w:t>
      </w:r>
      <w:r w:rsidRPr="00FC2ADD">
        <w:t xml:space="preserve">млн. лв. - приходи от съдебни такси. За сравнение, </w:t>
      </w:r>
      <w:r w:rsidR="00FC2ADD" w:rsidRPr="00FC2ADD">
        <w:t xml:space="preserve">за </w:t>
      </w:r>
      <w:r w:rsidRPr="00FC2ADD">
        <w:t>202</w:t>
      </w:r>
      <w:r w:rsidR="00337851" w:rsidRPr="00FC2ADD">
        <w:t>2 </w:t>
      </w:r>
      <w:r w:rsidRPr="00FC2ADD">
        <w:t xml:space="preserve">г. са отчетени общо приходи в размер на </w:t>
      </w:r>
      <w:r w:rsidR="00FC2ADD" w:rsidRPr="00FC2ADD">
        <w:t>104,5</w:t>
      </w:r>
      <w:r w:rsidR="00337851" w:rsidRPr="00FC2ADD">
        <w:t xml:space="preserve"> млн. лв.</w:t>
      </w:r>
      <w:r w:rsidRPr="00FC2ADD">
        <w:t xml:space="preserve">, от които </w:t>
      </w:r>
      <w:r w:rsidR="00FC2ADD" w:rsidRPr="00FC2ADD">
        <w:t>87,9</w:t>
      </w:r>
      <w:r w:rsidRPr="00FC2ADD">
        <w:t xml:space="preserve"> млн. лв. - приходи от съдебни такси.</w:t>
      </w:r>
    </w:p>
    <w:p w14:paraId="122950DF" w14:textId="414D1D1C" w:rsidR="002763DB" w:rsidRPr="00D56089" w:rsidRDefault="002763DB" w:rsidP="00B5493B">
      <w:pPr>
        <w:tabs>
          <w:tab w:val="left" w:pos="90"/>
        </w:tabs>
        <w:spacing w:before="120"/>
        <w:jc w:val="both"/>
        <w:rPr>
          <w:color w:val="4F81BD" w:themeColor="accent1"/>
        </w:rPr>
      </w:pPr>
      <w:r w:rsidRPr="00D31150">
        <w:rPr>
          <w:b/>
        </w:rPr>
        <w:t xml:space="preserve">Разходите </w:t>
      </w:r>
      <w:r w:rsidRPr="00D31150">
        <w:t>по бюджета на съдебната власт</w:t>
      </w:r>
      <w:r w:rsidRPr="00D31150">
        <w:rPr>
          <w:b/>
        </w:rPr>
        <w:t xml:space="preserve"> </w:t>
      </w:r>
      <w:r w:rsidR="00D31150" w:rsidRPr="00D31150">
        <w:t xml:space="preserve">за </w:t>
      </w:r>
      <w:r w:rsidRPr="00D31150">
        <w:t>202</w:t>
      </w:r>
      <w:r w:rsidR="00337851" w:rsidRPr="00D31150">
        <w:t>3</w:t>
      </w:r>
      <w:r w:rsidRPr="00D31150">
        <w:t xml:space="preserve"> г.</w:t>
      </w:r>
      <w:r w:rsidRPr="00D31150">
        <w:rPr>
          <w:b/>
        </w:rPr>
        <w:t xml:space="preserve"> </w:t>
      </w:r>
      <w:r w:rsidRPr="00D31150">
        <w:t xml:space="preserve">са в размер на </w:t>
      </w:r>
      <w:r w:rsidR="00D31150" w:rsidRPr="00D31150">
        <w:t>1 060,6</w:t>
      </w:r>
      <w:r w:rsidRPr="00D31150">
        <w:t xml:space="preserve"> млн. лв.</w:t>
      </w:r>
      <w:r w:rsidR="00337851" w:rsidRPr="00D31150">
        <w:t>,</w:t>
      </w:r>
      <w:r w:rsidRPr="00D31150">
        <w:t xml:space="preserve"> </w:t>
      </w:r>
      <w:r w:rsidR="00337851" w:rsidRPr="00D31150">
        <w:t>като с най-</w:t>
      </w:r>
      <w:r w:rsidR="00337851" w:rsidRPr="00CC3068">
        <w:t xml:space="preserve">голям относителен дял от отчетените разходи са тези за персонал </w:t>
      </w:r>
      <w:r w:rsidR="001C0277" w:rsidRPr="00CC3068">
        <w:t xml:space="preserve">– </w:t>
      </w:r>
      <w:r w:rsidR="00D31150" w:rsidRPr="00CC3068">
        <w:t xml:space="preserve">90,1 </w:t>
      </w:r>
      <w:r w:rsidR="001C0277" w:rsidRPr="00CC3068">
        <w:t>% (</w:t>
      </w:r>
      <w:r w:rsidR="00D31150" w:rsidRPr="00CC3068">
        <w:t>956,0</w:t>
      </w:r>
      <w:r w:rsidR="00337851" w:rsidRPr="00CC3068">
        <w:t xml:space="preserve"> млн. лв.). </w:t>
      </w:r>
      <w:r w:rsidRPr="00CC3068">
        <w:t>За сравнение, през 202</w:t>
      </w:r>
      <w:r w:rsidR="00337851" w:rsidRPr="00CC3068">
        <w:t>2</w:t>
      </w:r>
      <w:r w:rsidRPr="00CC3068">
        <w:t xml:space="preserve"> г. са отчетени </w:t>
      </w:r>
      <w:r w:rsidR="001C0277" w:rsidRPr="00CC3068">
        <w:t xml:space="preserve">общо </w:t>
      </w:r>
      <w:r w:rsidRPr="00CC3068">
        <w:t xml:space="preserve">разходи в размер </w:t>
      </w:r>
      <w:r w:rsidR="00CC3068" w:rsidRPr="00CC3068">
        <w:t>957,6</w:t>
      </w:r>
      <w:r w:rsidRPr="00CC3068">
        <w:t xml:space="preserve"> млн. л</w:t>
      </w:r>
      <w:r w:rsidR="00D7249D" w:rsidRPr="00CC3068">
        <w:t>е</w:t>
      </w:r>
      <w:r w:rsidRPr="00CC3068">
        <w:t>в</w:t>
      </w:r>
      <w:r w:rsidR="00D7249D" w:rsidRPr="00CC3068">
        <w:t>а</w:t>
      </w:r>
      <w:r w:rsidRPr="00CC3068">
        <w:t>.</w:t>
      </w:r>
    </w:p>
    <w:p w14:paraId="56103A53" w14:textId="77777777" w:rsidR="00F521AA" w:rsidRPr="0012638C" w:rsidRDefault="00F521AA" w:rsidP="00ED2B9A">
      <w:pPr>
        <w:pStyle w:val="Heading1"/>
        <w:numPr>
          <w:ilvl w:val="0"/>
          <w:numId w:val="9"/>
        </w:numPr>
        <w:tabs>
          <w:tab w:val="left" w:pos="90"/>
          <w:tab w:val="left" w:pos="993"/>
        </w:tabs>
        <w:spacing w:before="240" w:after="120"/>
        <w:ind w:left="0" w:right="-108" w:firstLine="567"/>
        <w:jc w:val="both"/>
        <w:rPr>
          <w:sz w:val="24"/>
        </w:rPr>
      </w:pPr>
      <w:r w:rsidRPr="0012638C">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479A6EA6" w14:textId="77777777" w:rsidR="00F521AA" w:rsidRPr="0012638C" w:rsidRDefault="00F521AA" w:rsidP="00F34210">
      <w:pPr>
        <w:pStyle w:val="Heading1"/>
        <w:numPr>
          <w:ilvl w:val="1"/>
          <w:numId w:val="9"/>
        </w:numPr>
        <w:tabs>
          <w:tab w:val="left" w:pos="90"/>
          <w:tab w:val="left" w:pos="993"/>
        </w:tabs>
        <w:spacing w:before="120" w:after="120"/>
        <w:ind w:left="0" w:right="-108" w:firstLine="567"/>
        <w:jc w:val="both"/>
        <w:rPr>
          <w:sz w:val="24"/>
        </w:rPr>
      </w:pPr>
      <w:r w:rsidRPr="0012638C">
        <w:rPr>
          <w:sz w:val="24"/>
        </w:rPr>
        <w:t xml:space="preserve"> Сметка за Европейски средства на Разплащателна агенция </w:t>
      </w:r>
      <w:r w:rsidR="00924745" w:rsidRPr="0012638C">
        <w:rPr>
          <w:sz w:val="24"/>
        </w:rPr>
        <w:t xml:space="preserve">ДФ „Земеделие“ </w:t>
      </w:r>
      <w:r w:rsidRPr="0012638C">
        <w:rPr>
          <w:sz w:val="24"/>
        </w:rPr>
        <w:t xml:space="preserve"> </w:t>
      </w:r>
    </w:p>
    <w:p w14:paraId="69BC1601" w14:textId="77777777" w:rsidR="00DC7734" w:rsidRPr="00245940" w:rsidRDefault="00DC7734" w:rsidP="00DC7734">
      <w:pPr>
        <w:numPr>
          <w:ilvl w:val="0"/>
          <w:numId w:val="20"/>
        </w:numPr>
        <w:spacing w:before="120" w:after="120" w:line="276" w:lineRule="auto"/>
        <w:ind w:left="777" w:hanging="357"/>
        <w:jc w:val="both"/>
        <w:rPr>
          <w:b/>
          <w:lang w:eastAsia="bg-BG"/>
        </w:rPr>
      </w:pPr>
      <w:r w:rsidRPr="00245940">
        <w:rPr>
          <w:b/>
          <w:lang w:eastAsia="bg-BG"/>
        </w:rPr>
        <w:t>Приходи</w:t>
      </w:r>
    </w:p>
    <w:p w14:paraId="6FA521DE" w14:textId="4F00C21E" w:rsidR="00DC7734" w:rsidRPr="002F14D1" w:rsidRDefault="00DC7734" w:rsidP="00DC7734">
      <w:pPr>
        <w:ind w:firstLine="567"/>
        <w:jc w:val="both"/>
      </w:pPr>
      <w:r w:rsidRPr="002F14D1">
        <w:t>За 2023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523,2 млн. лева. Към 3</w:t>
      </w:r>
      <w:r w:rsidRPr="002F14D1">
        <w:rPr>
          <w:lang w:val="ru-RU"/>
        </w:rPr>
        <w:t>1</w:t>
      </w:r>
      <w:r w:rsidRPr="002F14D1">
        <w:t>.</w:t>
      </w:r>
      <w:r w:rsidRPr="002F14D1">
        <w:rPr>
          <w:lang w:val="ru-RU"/>
        </w:rPr>
        <w:t>12</w:t>
      </w:r>
      <w:r w:rsidRPr="002F14D1">
        <w:t xml:space="preserve">.2023 г. по отчетни данни, постъпленията са в размер на </w:t>
      </w:r>
      <w:r w:rsidRPr="002F14D1">
        <w:rPr>
          <w:lang w:val="ru-RU"/>
        </w:rPr>
        <w:t>313</w:t>
      </w:r>
      <w:r w:rsidRPr="002F14D1">
        <w:t xml:space="preserve">,3 млн. лв., което представлява </w:t>
      </w:r>
      <w:r w:rsidRPr="002F14D1">
        <w:rPr>
          <w:lang w:val="ru-RU"/>
        </w:rPr>
        <w:t>59</w:t>
      </w:r>
      <w:r w:rsidRPr="002F14D1">
        <w:t>,</w:t>
      </w:r>
      <w:r w:rsidRPr="002F14D1">
        <w:rPr>
          <w:lang w:val="ru-RU"/>
        </w:rPr>
        <w:t>9</w:t>
      </w:r>
      <w:r w:rsidRPr="002F14D1">
        <w:t> % от годишния план.</w:t>
      </w:r>
    </w:p>
    <w:p w14:paraId="2D112501" w14:textId="77777777" w:rsidR="00DC7734" w:rsidRPr="002F14D1" w:rsidRDefault="00DC7734" w:rsidP="00DC7734">
      <w:pPr>
        <w:ind w:firstLine="567"/>
        <w:jc w:val="both"/>
      </w:pPr>
      <w:r w:rsidRPr="002F14D1">
        <w:t>Приходната част е формирана от приходи от наказателни лихви, помощи и дарения от чужбина и коректив на касови постъпления, както следва:</w:t>
      </w:r>
    </w:p>
    <w:p w14:paraId="05C56BD0" w14:textId="77777777" w:rsidR="00DC7734" w:rsidRPr="002F14D1" w:rsidRDefault="00DC7734" w:rsidP="00DC7734">
      <w:pPr>
        <w:numPr>
          <w:ilvl w:val="0"/>
          <w:numId w:val="19"/>
        </w:numPr>
        <w:tabs>
          <w:tab w:val="left" w:pos="993"/>
        </w:tabs>
        <w:spacing w:before="120" w:after="120"/>
        <w:ind w:left="1321" w:hanging="612"/>
        <w:jc w:val="both"/>
        <w:rPr>
          <w:b/>
          <w:i/>
        </w:rPr>
      </w:pPr>
      <w:r w:rsidRPr="002F14D1">
        <w:rPr>
          <w:b/>
          <w:i/>
        </w:rPr>
        <w:t>Приходи от наказателни лихви</w:t>
      </w:r>
    </w:p>
    <w:p w14:paraId="01C5B2E1" w14:textId="61E2907B" w:rsidR="00DC7734" w:rsidRPr="002F14D1" w:rsidRDefault="00106702" w:rsidP="00DC7734">
      <w:pPr>
        <w:tabs>
          <w:tab w:val="left" w:pos="993"/>
        </w:tabs>
        <w:spacing w:before="120" w:after="120"/>
        <w:ind w:firstLine="567"/>
        <w:jc w:val="both"/>
      </w:pPr>
      <w:r>
        <w:t>За</w:t>
      </w:r>
      <w:r w:rsidR="00DC7734" w:rsidRPr="002F14D1">
        <w:t xml:space="preserve"> 2023 г. са отчетени приходи от получени наказателни лихви, свързани с вземания за възстановяване на средства от ЕК, в размер на 1,1 млн. лева.</w:t>
      </w:r>
    </w:p>
    <w:p w14:paraId="186C0A94" w14:textId="77777777" w:rsidR="00DC7734" w:rsidRPr="002F14D1" w:rsidRDefault="00DC7734" w:rsidP="00DC7734">
      <w:pPr>
        <w:numPr>
          <w:ilvl w:val="0"/>
          <w:numId w:val="19"/>
        </w:numPr>
        <w:tabs>
          <w:tab w:val="left" w:pos="993"/>
        </w:tabs>
        <w:spacing w:before="120" w:after="120"/>
        <w:ind w:left="1321" w:hanging="612"/>
        <w:jc w:val="both"/>
        <w:rPr>
          <w:b/>
          <w:i/>
        </w:rPr>
      </w:pPr>
      <w:r w:rsidRPr="002F14D1">
        <w:rPr>
          <w:b/>
          <w:i/>
        </w:rPr>
        <w:t>Текущи помощи и дарения от Европейския съюз</w:t>
      </w:r>
    </w:p>
    <w:p w14:paraId="03DE8306" w14:textId="77777777" w:rsidR="00DC7734" w:rsidRPr="001C25FF" w:rsidRDefault="00DC7734" w:rsidP="00DC7734">
      <w:pPr>
        <w:ind w:firstLine="567"/>
        <w:jc w:val="both"/>
      </w:pPr>
      <w:r w:rsidRPr="001C25FF">
        <w:t>Общият размер на получените приходи, отчетени в „Текущи помощи и дарения от Европейския съюз“, към 31.12.2023 г. е 64,7 млн. лв. при планирани за годината средства в размер на 67,5 млн. лева.</w:t>
      </w:r>
    </w:p>
    <w:p w14:paraId="0A552A97" w14:textId="6B38D6FF" w:rsidR="00DC7734" w:rsidRPr="001C25FF" w:rsidRDefault="00DC7734" w:rsidP="00DC7734">
      <w:pPr>
        <w:ind w:firstLine="567"/>
        <w:jc w:val="both"/>
      </w:pPr>
      <w:r w:rsidRPr="001C25FF">
        <w:t xml:space="preserve">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31.12.2023 г. възлизат на 54,9 млн. лв., което е 102,2 % спрямо планираните за годината 53,7 млн. лева. За сравнение, за </w:t>
      </w:r>
      <w:r w:rsidR="003D7A37" w:rsidRPr="003D7A37">
        <w:t xml:space="preserve">предходната </w:t>
      </w:r>
      <w:r w:rsidRPr="001C25FF">
        <w:t>година изпълнението на плана е било 144,4 процента.</w:t>
      </w:r>
    </w:p>
    <w:p w14:paraId="004F992F" w14:textId="7039F479" w:rsidR="00DC7734" w:rsidRPr="001C25FF" w:rsidRDefault="00DC7734" w:rsidP="00DC7734">
      <w:pPr>
        <w:ind w:firstLine="567"/>
        <w:jc w:val="both"/>
      </w:pPr>
      <w:r w:rsidRPr="001C25FF">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31.12.2023 г. са 5,8 млн. лв., което представлява 93,5 % от планираните 6,2 млн. лв. за годината. За 2022 г. степента на изпълнение по това направление е била 100 процента.</w:t>
      </w:r>
    </w:p>
    <w:p w14:paraId="08B447A4" w14:textId="2D8CE024" w:rsidR="00DC7734" w:rsidRPr="001C25FF" w:rsidRDefault="00DC7734" w:rsidP="00DC7734">
      <w:pPr>
        <w:ind w:firstLine="567"/>
        <w:jc w:val="both"/>
      </w:pPr>
      <w:r w:rsidRPr="001C25FF">
        <w:t>През 2023</w:t>
      </w:r>
      <w:r w:rsidR="00770EBA">
        <w:t xml:space="preserve"> </w:t>
      </w:r>
      <w:r w:rsidRPr="001C25FF">
        <w:t xml:space="preserve">г. са получени 4,0 млн. лв. текущи приходи, възстановени средства от Европейския фонд за морско дело и рибарство (ЕФМДР), което представлява 52,6 % от годишния план в размер на 7,6 млн. лева. През </w:t>
      </w:r>
      <w:r w:rsidR="004C4FD1" w:rsidRPr="004C4FD1">
        <w:t xml:space="preserve">предходната </w:t>
      </w:r>
      <w:r w:rsidRPr="001C25FF">
        <w:t>година изпълнението е било 114,5 процента.</w:t>
      </w:r>
    </w:p>
    <w:p w14:paraId="072D0E76" w14:textId="77777777" w:rsidR="00DC7734" w:rsidRPr="001C25FF" w:rsidRDefault="00DC7734" w:rsidP="00DC7734">
      <w:pPr>
        <w:numPr>
          <w:ilvl w:val="0"/>
          <w:numId w:val="19"/>
        </w:numPr>
        <w:tabs>
          <w:tab w:val="left" w:pos="993"/>
        </w:tabs>
        <w:spacing w:before="120" w:after="120"/>
        <w:ind w:left="1321" w:hanging="612"/>
        <w:jc w:val="both"/>
        <w:rPr>
          <w:b/>
          <w:i/>
          <w:lang w:eastAsia="bg-BG"/>
        </w:rPr>
      </w:pPr>
      <w:r w:rsidRPr="001C25FF">
        <w:rPr>
          <w:b/>
          <w:i/>
          <w:lang w:eastAsia="bg-BG"/>
        </w:rPr>
        <w:t>Капиталови помощи и дарения от Европейския съюз</w:t>
      </w:r>
    </w:p>
    <w:p w14:paraId="66908957" w14:textId="77777777" w:rsidR="00DC7734" w:rsidRPr="008E1E9B" w:rsidRDefault="00DC7734" w:rsidP="00DC7734">
      <w:pPr>
        <w:ind w:firstLine="567"/>
        <w:jc w:val="both"/>
      </w:pPr>
      <w:r w:rsidRPr="008E1E9B">
        <w:t>Общият размер на получените приходи, отчетени в „Капиталови помощи и дарения от Европейския съюз“, към 31.12.2023 г. е 256,3 млн. лв. при планирани за годината 455,7 млн. лева.</w:t>
      </w:r>
    </w:p>
    <w:p w14:paraId="51F1C04D" w14:textId="77777777" w:rsidR="00DC7734" w:rsidRPr="008E1E9B" w:rsidRDefault="00DC7734" w:rsidP="00DC7734">
      <w:pPr>
        <w:ind w:firstLine="567"/>
        <w:jc w:val="both"/>
      </w:pPr>
      <w:r w:rsidRPr="008E1E9B">
        <w:t xml:space="preserve">Получените капиталови приходи от ЕЗФРСР по линия на ПРСР без директни плащания към края на годината са 248,1 млн. лв., от които 27,6 млн. лв. са аванс по линия на </w:t>
      </w:r>
      <w:r w:rsidRPr="008E1E9B">
        <w:rPr>
          <w:lang w:eastAsia="bg-BG"/>
        </w:rPr>
        <w:t xml:space="preserve">Стратегическия План по ОСП 2023-2027. </w:t>
      </w:r>
      <w:r w:rsidRPr="008E1E9B">
        <w:t xml:space="preserve"> Изпълнени са 55,2 % от годишния план, който е в размер на 449,6 млн. лева. За сравнение, за предходната година, капиталовите приходи по ПРСР са били 218,4 млн. лв. (96,5 % от годишния план).</w:t>
      </w:r>
    </w:p>
    <w:p w14:paraId="426B19EC" w14:textId="77777777" w:rsidR="00DC7734" w:rsidRPr="008E1E9B" w:rsidRDefault="00DC7734" w:rsidP="00DC7734">
      <w:pPr>
        <w:ind w:firstLine="567"/>
        <w:jc w:val="both"/>
      </w:pPr>
      <w:r w:rsidRPr="008E1E9B">
        <w:t>В периода 01.01-31.12.2023 г. са получени капиталови приходи в размер 7,4 млн. лв. от фонд ЕФМДР. Отчетени са и 0,8 млн. лв. получен аванс по Програмата за морско дело, рибарство и аквакултури 2021-2027 г. (ПМДРА). Степента на изпълнение спрямо годишния разчет от 6,1 млн. лв. е 134,4 процента. За предходната година по това направление са отчетени 14,4 млн. лева.</w:t>
      </w:r>
      <w:r w:rsidRPr="008E1E9B">
        <w:tab/>
      </w:r>
    </w:p>
    <w:p w14:paraId="21CE454F" w14:textId="77777777" w:rsidR="00DC7734" w:rsidRPr="008E1E9B" w:rsidRDefault="00DC7734" w:rsidP="00DC7734">
      <w:pPr>
        <w:numPr>
          <w:ilvl w:val="0"/>
          <w:numId w:val="19"/>
        </w:numPr>
        <w:tabs>
          <w:tab w:val="left" w:pos="993"/>
        </w:tabs>
        <w:spacing w:before="120" w:after="120"/>
        <w:ind w:left="1321" w:hanging="612"/>
        <w:jc w:val="both"/>
        <w:rPr>
          <w:b/>
          <w:i/>
        </w:rPr>
      </w:pPr>
      <w:r w:rsidRPr="008E1E9B">
        <w:rPr>
          <w:b/>
          <w:i/>
        </w:rPr>
        <w:t xml:space="preserve">Коректив на касови постъпления </w:t>
      </w:r>
    </w:p>
    <w:p w14:paraId="0145A19F" w14:textId="77777777" w:rsidR="00DC7734" w:rsidRPr="008E1E9B" w:rsidRDefault="00DC7734" w:rsidP="00DC7734">
      <w:pPr>
        <w:spacing w:before="120" w:after="120"/>
        <w:ind w:firstLine="567"/>
        <w:jc w:val="both"/>
        <w:rPr>
          <w:bCs/>
          <w:iCs/>
        </w:rPr>
      </w:pPr>
      <w:r w:rsidRPr="008E1E9B">
        <w:rPr>
          <w:bCs/>
          <w:iCs/>
        </w:rPr>
        <w:t>Към 31.12.2023 г. отчетеният коректив на касови постъпления е минус 8,9 млн. лева. Той е формиран от размера на принудително събрани суми от НАП, за които не е извършен превод на средства по сметката на ДФЗ-РА.</w:t>
      </w:r>
    </w:p>
    <w:p w14:paraId="675613E5" w14:textId="77777777" w:rsidR="00DC7734" w:rsidRPr="008E1E9B" w:rsidRDefault="00DC7734" w:rsidP="00DC7734">
      <w:pPr>
        <w:numPr>
          <w:ilvl w:val="0"/>
          <w:numId w:val="20"/>
        </w:numPr>
        <w:spacing w:before="120" w:after="120" w:line="276" w:lineRule="auto"/>
        <w:ind w:left="777" w:hanging="357"/>
        <w:jc w:val="both"/>
        <w:rPr>
          <w:b/>
          <w:lang w:eastAsia="bg-BG"/>
        </w:rPr>
      </w:pPr>
      <w:r w:rsidRPr="008E1E9B">
        <w:rPr>
          <w:b/>
          <w:lang w:eastAsia="bg-BG"/>
        </w:rPr>
        <w:t>Разходи</w:t>
      </w:r>
    </w:p>
    <w:p w14:paraId="6C462ECD" w14:textId="77777777" w:rsidR="00DC7734" w:rsidRPr="008E1E9B" w:rsidRDefault="00DC7734" w:rsidP="00DC7734">
      <w:pPr>
        <w:ind w:firstLine="567"/>
        <w:jc w:val="both"/>
      </w:pPr>
      <w:r w:rsidRPr="008E1E9B">
        <w:t>Общият размер на планираните за 2023 г. разходи по утвърдените годишни разчети на сметката за средства от Европейския съюз на Разплащателната агенция към ДФ „Земеделие” са 889,5 млн. лева.</w:t>
      </w:r>
    </w:p>
    <w:p w14:paraId="5B7E6861" w14:textId="77777777" w:rsidR="00DC7734" w:rsidRPr="008E1E9B" w:rsidRDefault="00DC7734" w:rsidP="00DC7734">
      <w:pPr>
        <w:ind w:firstLine="567"/>
        <w:jc w:val="both"/>
      </w:pPr>
      <w:r w:rsidRPr="008E1E9B">
        <w:t>Уточненият план на субсидиите за текуща дейност и капиталовите трансфери за 2023 г. е 730,5 млн. лева. Изпълнението им към 31.12.2023 г. възлиза на 69,7 % от годишния план при отчетени разходи в размер на 509,0 млн. лева.</w:t>
      </w:r>
    </w:p>
    <w:p w14:paraId="1B773F76" w14:textId="77777777" w:rsidR="00DC7734" w:rsidRPr="008E1E9B" w:rsidRDefault="00DC7734" w:rsidP="00DC7734">
      <w:pPr>
        <w:tabs>
          <w:tab w:val="left" w:pos="709"/>
        </w:tabs>
        <w:ind w:firstLine="567"/>
        <w:jc w:val="both"/>
      </w:pPr>
      <w:r w:rsidRPr="008E1E9B">
        <w:t xml:space="preserve">Останалите планирани разходи в размер 159,0 млн. лв. са формирани от: разходи за заплати и възнаграждения на персонала </w:t>
      </w:r>
      <w:r w:rsidRPr="008E1E9B">
        <w:rPr>
          <w:lang w:val="ru-RU"/>
        </w:rPr>
        <w:t>(</w:t>
      </w:r>
      <w:r w:rsidRPr="008E1E9B">
        <w:t>9,0 млн. лв.</w:t>
      </w:r>
      <w:r w:rsidRPr="008E1E9B">
        <w:rPr>
          <w:lang w:val="ru-RU"/>
        </w:rPr>
        <w:t>)</w:t>
      </w:r>
      <w:r w:rsidRPr="008E1E9B">
        <w:t xml:space="preserve">, задължителни осигурителни вноски от работодатели </w:t>
      </w:r>
      <w:r w:rsidRPr="008E1E9B">
        <w:rPr>
          <w:lang w:val="ru-RU"/>
        </w:rPr>
        <w:t>(</w:t>
      </w:r>
      <w:r w:rsidRPr="008E1E9B">
        <w:t>2,6 млн.</w:t>
      </w:r>
      <w:r w:rsidRPr="008E1E9B">
        <w:rPr>
          <w:lang w:val="ru-RU"/>
        </w:rPr>
        <w:t xml:space="preserve"> </w:t>
      </w:r>
      <w:r w:rsidRPr="008E1E9B">
        <w:t>лв.</w:t>
      </w:r>
      <w:r w:rsidRPr="008E1E9B">
        <w:rPr>
          <w:lang w:val="ru-RU"/>
        </w:rPr>
        <w:t>)</w:t>
      </w:r>
      <w:r w:rsidRPr="008E1E9B">
        <w:t xml:space="preserve">, издръжка </w:t>
      </w:r>
      <w:r w:rsidRPr="008E1E9B">
        <w:rPr>
          <w:lang w:val="ru-RU"/>
        </w:rPr>
        <w:t>(</w:t>
      </w:r>
      <w:r w:rsidRPr="008E1E9B">
        <w:t>13 млн.</w:t>
      </w:r>
      <w:r w:rsidRPr="008E1E9B">
        <w:rPr>
          <w:lang w:val="ru-RU"/>
        </w:rPr>
        <w:t xml:space="preserve"> </w:t>
      </w:r>
      <w:r w:rsidRPr="008E1E9B">
        <w:t>лв.</w:t>
      </w:r>
      <w:r w:rsidRPr="008E1E9B">
        <w:rPr>
          <w:lang w:val="ru-RU"/>
        </w:rPr>
        <w:t>)</w:t>
      </w:r>
      <w:r w:rsidRPr="008E1E9B">
        <w:t xml:space="preserve"> и придобиване на ДМА </w:t>
      </w:r>
      <w:r w:rsidRPr="008E1E9B">
        <w:rPr>
          <w:lang w:val="ru-RU"/>
        </w:rPr>
        <w:t>(</w:t>
      </w:r>
      <w:r w:rsidRPr="008E1E9B">
        <w:t>134,4 млн.</w:t>
      </w:r>
      <w:r w:rsidRPr="008E1E9B">
        <w:rPr>
          <w:lang w:val="ru-RU"/>
        </w:rPr>
        <w:t xml:space="preserve"> </w:t>
      </w:r>
      <w:r w:rsidRPr="008E1E9B">
        <w:t>лв.</w:t>
      </w:r>
      <w:r w:rsidRPr="008E1E9B">
        <w:rPr>
          <w:lang w:val="ru-RU"/>
        </w:rPr>
        <w:t>)</w:t>
      </w:r>
      <w:r w:rsidRPr="008E1E9B">
        <w:t>. Те подлежат на отчитане в § 63-00 Трансфери между сметки за средствата от ЕС.</w:t>
      </w:r>
    </w:p>
    <w:p w14:paraId="48CA4CC3" w14:textId="77777777" w:rsidR="00DC7734" w:rsidRPr="008E1E9B" w:rsidRDefault="00DC7734" w:rsidP="00DC7734">
      <w:pPr>
        <w:ind w:firstLine="567"/>
        <w:jc w:val="both"/>
      </w:pPr>
      <w:r w:rsidRPr="008E1E9B">
        <w:t>Изпълнението на отчетените разходи е както следва:</w:t>
      </w:r>
    </w:p>
    <w:p w14:paraId="13EFA5D7" w14:textId="77777777" w:rsidR="00DC7734" w:rsidRPr="00DF7053" w:rsidRDefault="00DC7734" w:rsidP="00DC7734">
      <w:pPr>
        <w:numPr>
          <w:ilvl w:val="0"/>
          <w:numId w:val="19"/>
        </w:numPr>
        <w:tabs>
          <w:tab w:val="left" w:pos="993"/>
        </w:tabs>
        <w:spacing w:before="120" w:after="120"/>
        <w:ind w:left="1321" w:hanging="612"/>
        <w:jc w:val="both"/>
        <w:rPr>
          <w:b/>
          <w:i/>
          <w:lang w:eastAsia="bg-BG"/>
        </w:rPr>
      </w:pPr>
      <w:r w:rsidRPr="00DF7053">
        <w:rPr>
          <w:b/>
          <w:i/>
          <w:lang w:eastAsia="bg-BG"/>
        </w:rPr>
        <w:t>Субсидии и други текущи трансфери за нефинансови предприятия</w:t>
      </w:r>
    </w:p>
    <w:p w14:paraId="6BB9EA24" w14:textId="77777777" w:rsidR="00DC7734" w:rsidRPr="00DF7053" w:rsidRDefault="00DC7734" w:rsidP="00DC7734">
      <w:pPr>
        <w:tabs>
          <w:tab w:val="left" w:pos="993"/>
        </w:tabs>
        <w:ind w:firstLine="567"/>
        <w:jc w:val="both"/>
      </w:pPr>
      <w:r w:rsidRPr="00DF7053">
        <w:t>За 2023</w:t>
      </w:r>
      <w:r w:rsidRPr="00DF7053">
        <w:rPr>
          <w:lang w:val="ru-RU"/>
        </w:rPr>
        <w:t xml:space="preserve"> </w:t>
      </w:r>
      <w:r w:rsidRPr="00DF7053">
        <w:t>г. са планирани средства в размер на 314</w:t>
      </w:r>
      <w:r w:rsidRPr="00DF7053">
        <w:rPr>
          <w:lang w:val="ru-RU"/>
        </w:rPr>
        <w:t>.0</w:t>
      </w:r>
      <w:r w:rsidRPr="00DF7053">
        <w:t xml:space="preserve"> млн.</w:t>
      </w:r>
      <w:r w:rsidRPr="00DF7053">
        <w:rPr>
          <w:lang w:val="ru-RU"/>
        </w:rPr>
        <w:t xml:space="preserve"> </w:t>
      </w:r>
      <w:r w:rsidRPr="00DF7053">
        <w:t>лв. за субсидии и други текущи трансфери за нефинансови предприятия. Отчетените към 31.12.2023</w:t>
      </w:r>
      <w:r w:rsidRPr="00DF7053">
        <w:rPr>
          <w:lang w:val="ru-RU"/>
        </w:rPr>
        <w:t xml:space="preserve"> </w:t>
      </w:r>
      <w:r w:rsidRPr="00DF7053">
        <w:t>г. средства представляват 47,2</w:t>
      </w:r>
      <w:r w:rsidRPr="00DF7053">
        <w:rPr>
          <w:lang w:val="ru-RU"/>
        </w:rPr>
        <w:t xml:space="preserve"> </w:t>
      </w:r>
      <w:r w:rsidRPr="00DF7053">
        <w:t>% от планираните за годината и са в размер на 148,2 млн.</w:t>
      </w:r>
      <w:r w:rsidRPr="00DF7053">
        <w:rPr>
          <w:lang w:val="ru-RU"/>
        </w:rPr>
        <w:t xml:space="preserve"> </w:t>
      </w:r>
      <w:r w:rsidRPr="00DF7053">
        <w:t>лева. Към 31.12.2022</w:t>
      </w:r>
      <w:r w:rsidRPr="00DF7053">
        <w:rPr>
          <w:lang w:val="ru-RU"/>
        </w:rPr>
        <w:t xml:space="preserve"> </w:t>
      </w:r>
      <w:r w:rsidRPr="00DF7053">
        <w:t>г. отчетените текущи субсидии са били 188,4 млн.</w:t>
      </w:r>
      <w:r w:rsidRPr="00DF7053">
        <w:rPr>
          <w:lang w:val="ru-RU"/>
        </w:rPr>
        <w:t xml:space="preserve"> </w:t>
      </w:r>
      <w:r w:rsidRPr="00DF7053">
        <w:t>лева.</w:t>
      </w:r>
    </w:p>
    <w:p w14:paraId="56585A64" w14:textId="77777777" w:rsidR="00DC7734" w:rsidRPr="00DF7053" w:rsidRDefault="00DC7734" w:rsidP="00DC7734">
      <w:pPr>
        <w:tabs>
          <w:tab w:val="left" w:pos="993"/>
        </w:tabs>
        <w:ind w:firstLine="567"/>
        <w:jc w:val="both"/>
      </w:pPr>
      <w:r w:rsidRPr="00DF7053">
        <w:t>Изпълнението по дейности е както следва:</w:t>
      </w:r>
    </w:p>
    <w:p w14:paraId="16909D26" w14:textId="77777777" w:rsidR="00DC7734" w:rsidRPr="00424753" w:rsidRDefault="00DC7734" w:rsidP="00DC7734">
      <w:pPr>
        <w:ind w:firstLine="709"/>
        <w:contextualSpacing/>
        <w:jc w:val="both"/>
      </w:pPr>
      <w:r w:rsidRPr="00424753">
        <w:t>- национално съфинансиране към ЕЗФРСР за директни плащания – 37,8 млн. лв., изпълнение 24,5 % от планираните за годината 154,1 млн. лв.;</w:t>
      </w:r>
    </w:p>
    <w:p w14:paraId="44E98715" w14:textId="77777777" w:rsidR="00DC7734" w:rsidRPr="00424753" w:rsidRDefault="00DC7734" w:rsidP="00DC7734">
      <w:pPr>
        <w:ind w:firstLine="720"/>
        <w:contextualSpacing/>
        <w:jc w:val="both"/>
      </w:pPr>
      <w:r w:rsidRPr="00424753">
        <w:t>- текущи субсидии по Програмата за морско дело и рибарство – 6,8 млн. лв., изпълнение 70,8 % от планираните 9,6 млн. лв.;</w:t>
      </w:r>
    </w:p>
    <w:p w14:paraId="4DF00705" w14:textId="77777777" w:rsidR="00DC7734" w:rsidRPr="00424753" w:rsidRDefault="00DC7734" w:rsidP="00DC7734">
      <w:pPr>
        <w:ind w:firstLine="720"/>
        <w:contextualSpacing/>
        <w:jc w:val="both"/>
      </w:pPr>
      <w:r w:rsidRPr="00424753">
        <w:t>- текущи субсидии по Програмата за развитие на селските райони – 31,6 млн. лв., изпълнение от 53,6 % на планираните за годината 59,0 млн. лв.;</w:t>
      </w:r>
    </w:p>
    <w:p w14:paraId="0C4A3538" w14:textId="77777777" w:rsidR="00DC7734" w:rsidRPr="00424753" w:rsidRDefault="00DC7734" w:rsidP="00DC7734">
      <w:pPr>
        <w:tabs>
          <w:tab w:val="left" w:pos="851"/>
          <w:tab w:val="left" w:pos="1134"/>
        </w:tabs>
        <w:ind w:firstLine="720"/>
        <w:contextualSpacing/>
        <w:jc w:val="both"/>
      </w:pPr>
      <w:r w:rsidRPr="00424753">
        <w:t xml:space="preserve">- текущи субсидии за пазарни мерки – 72,0 млн. лв., изпълнение от 78,9 % на планираните за 2023 г. 91,3 млн. лева. </w:t>
      </w:r>
    </w:p>
    <w:p w14:paraId="15E85620" w14:textId="77777777" w:rsidR="00DC7734" w:rsidRPr="00A5129E" w:rsidRDefault="00DC7734" w:rsidP="00DC7734">
      <w:pPr>
        <w:numPr>
          <w:ilvl w:val="0"/>
          <w:numId w:val="19"/>
        </w:numPr>
        <w:tabs>
          <w:tab w:val="left" w:pos="993"/>
        </w:tabs>
        <w:spacing w:before="120" w:after="120"/>
        <w:ind w:left="1321" w:hanging="612"/>
        <w:jc w:val="both"/>
        <w:rPr>
          <w:b/>
          <w:i/>
          <w:lang w:eastAsia="bg-BG"/>
        </w:rPr>
      </w:pPr>
      <w:r w:rsidRPr="00A5129E">
        <w:rPr>
          <w:b/>
          <w:i/>
          <w:lang w:eastAsia="bg-BG"/>
        </w:rPr>
        <w:t>Субсидии и други текущи трансфери за юридически лица с нестопанска цел</w:t>
      </w:r>
    </w:p>
    <w:p w14:paraId="0D3CC69F" w14:textId="77777777" w:rsidR="00DC7734" w:rsidRPr="00A5129E" w:rsidRDefault="00DC7734" w:rsidP="00DC7734">
      <w:pPr>
        <w:ind w:firstLine="567"/>
        <w:contextualSpacing/>
        <w:jc w:val="both"/>
      </w:pPr>
      <w:r w:rsidRPr="00A5129E">
        <w:t>За 2023 г. за субсидии и други текущи трансфери за юридически лица с нестопанска цел са планирани 28,5 млн. лева. Към края на 2023 г. са отчетени разходи в размер на 16,8 млн. лв., степен на изпълнение – 58,6 %. За предходната 2022 г. този вид разходи са възлизали на 15,0 млн. лева</w:t>
      </w:r>
    </w:p>
    <w:p w14:paraId="6F9C6FB1" w14:textId="77777777" w:rsidR="00DC7734" w:rsidRDefault="00DC7734" w:rsidP="00DC7734">
      <w:pPr>
        <w:ind w:firstLine="708"/>
        <w:contextualSpacing/>
        <w:jc w:val="both"/>
      </w:pPr>
      <w:r w:rsidRPr="00A5129E">
        <w:t>Разпределението по дейности е както следва:</w:t>
      </w:r>
    </w:p>
    <w:p w14:paraId="5F75C067" w14:textId="77777777" w:rsidR="00DC7734" w:rsidRPr="00A5129E" w:rsidRDefault="00DC7734" w:rsidP="00DC7734">
      <w:pPr>
        <w:ind w:firstLine="708"/>
        <w:jc w:val="both"/>
      </w:pPr>
      <w:r w:rsidRPr="00A5129E">
        <w:t xml:space="preserve">-  национално съфинансиране към ЕЗФРСР за директни плащания  – 0,1 млн. лв.; </w:t>
      </w:r>
    </w:p>
    <w:p w14:paraId="436306DC" w14:textId="77777777" w:rsidR="00DC7734" w:rsidRPr="00A5129E" w:rsidRDefault="00DC7734" w:rsidP="00DC7734">
      <w:pPr>
        <w:tabs>
          <w:tab w:val="left" w:pos="851"/>
        </w:tabs>
        <w:ind w:firstLine="720"/>
        <w:contextualSpacing/>
        <w:jc w:val="both"/>
      </w:pPr>
      <w:r w:rsidRPr="00A5129E">
        <w:t>- текущи субсидии по ПМДР – 2,5 млн. лв., възлизащи на 32,1% от планираните 7,8</w:t>
      </w:r>
      <w:r w:rsidRPr="00A5129E">
        <w:rPr>
          <w:lang w:val="en-US"/>
        </w:rPr>
        <w:t> </w:t>
      </w:r>
      <w:r w:rsidRPr="00A5129E">
        <w:t>млн. лв.;</w:t>
      </w:r>
    </w:p>
    <w:p w14:paraId="490AFEC9" w14:textId="77777777" w:rsidR="00DC7734" w:rsidRPr="00A5129E" w:rsidRDefault="00DC7734" w:rsidP="00DC7734">
      <w:pPr>
        <w:ind w:firstLine="720"/>
        <w:contextualSpacing/>
        <w:jc w:val="both"/>
      </w:pPr>
      <w:r w:rsidRPr="00A5129E">
        <w:t>- текущи субсидии по Програмата за развитие на селските райони – 14,1 млн. лв., при планирани 20,2 млн. лв., степен на изпълнение 69,8 %;</w:t>
      </w:r>
    </w:p>
    <w:p w14:paraId="45DD4F31" w14:textId="77777777" w:rsidR="00DC7734" w:rsidRPr="00A5129E" w:rsidRDefault="00DC7734" w:rsidP="00DC7734">
      <w:pPr>
        <w:ind w:firstLine="709"/>
        <w:contextualSpacing/>
        <w:jc w:val="both"/>
      </w:pPr>
      <w:r w:rsidRPr="00A5129E">
        <w:t>- текущи субсидии за пазарни мерки – 0,05 млн. лв., при годишен разчет 0,5 млн. лева.</w:t>
      </w:r>
    </w:p>
    <w:p w14:paraId="5633F366" w14:textId="77777777" w:rsidR="00DC7734" w:rsidRPr="00A5129E" w:rsidRDefault="00DC7734" w:rsidP="00DC7734">
      <w:pPr>
        <w:numPr>
          <w:ilvl w:val="0"/>
          <w:numId w:val="19"/>
        </w:numPr>
        <w:tabs>
          <w:tab w:val="left" w:pos="993"/>
        </w:tabs>
        <w:spacing w:before="120" w:after="120"/>
        <w:ind w:left="1321" w:hanging="612"/>
        <w:jc w:val="both"/>
        <w:rPr>
          <w:b/>
          <w:i/>
          <w:lang w:eastAsia="bg-BG"/>
        </w:rPr>
      </w:pPr>
      <w:r w:rsidRPr="00A5129E">
        <w:rPr>
          <w:b/>
          <w:i/>
          <w:lang w:eastAsia="bg-BG"/>
        </w:rPr>
        <w:t>Капиталови трансфери за нефинансови предприятия</w:t>
      </w:r>
    </w:p>
    <w:p w14:paraId="220D7FC6" w14:textId="77777777" w:rsidR="00DC7734" w:rsidRPr="00A5129E" w:rsidRDefault="00DC7734" w:rsidP="00DC7734">
      <w:pPr>
        <w:tabs>
          <w:tab w:val="left" w:pos="993"/>
        </w:tabs>
        <w:ind w:firstLine="567"/>
        <w:jc w:val="both"/>
      </w:pPr>
      <w:r w:rsidRPr="00A5129E">
        <w:t>За 2023 г. за капиталови трансфери за нефинансови предприятия са планирани 342,5 млн. лева. Към 31.12.2023 г. са отчетени 326,9 млн. лв., представляващи 95,4 % от годишния план. Отчетените за 2022 г. разходи за капиталови субсидии за физически лица и предприятия са били 125,9 млн. лева.</w:t>
      </w:r>
    </w:p>
    <w:p w14:paraId="7AEBA219" w14:textId="77777777" w:rsidR="00DC7734" w:rsidRPr="00A5129E" w:rsidRDefault="00DC7734" w:rsidP="00DC7734">
      <w:pPr>
        <w:tabs>
          <w:tab w:val="left" w:pos="993"/>
        </w:tabs>
        <w:ind w:firstLine="567"/>
        <w:jc w:val="both"/>
      </w:pPr>
      <w:r w:rsidRPr="00A5129E">
        <w:t>Разпределението по дейности е както следва:</w:t>
      </w:r>
    </w:p>
    <w:p w14:paraId="3CB68AC0" w14:textId="77777777" w:rsidR="00DC7734" w:rsidRPr="00A5129E" w:rsidRDefault="00DC7734" w:rsidP="00DC7734">
      <w:pPr>
        <w:ind w:firstLine="720"/>
        <w:contextualSpacing/>
        <w:jc w:val="both"/>
      </w:pPr>
      <w:r w:rsidRPr="00A5129E">
        <w:t>- капиталови трансфери по Програмата за морско дело и рибарство (ПМДР) – 2,7 млн. лв., 17,5 %  изпълнение на годишния план (15,4 млн. лв.);</w:t>
      </w:r>
    </w:p>
    <w:p w14:paraId="41F5B05B" w14:textId="77777777" w:rsidR="00DC7734" w:rsidRPr="00A5129E" w:rsidRDefault="00DC7734" w:rsidP="00DC7734">
      <w:pPr>
        <w:ind w:firstLine="720"/>
        <w:contextualSpacing/>
        <w:jc w:val="both"/>
      </w:pPr>
      <w:r w:rsidRPr="00A5129E">
        <w:t>- капиталови трансфери по ПРСР – 323,9 млн. лв., 99,2 % изпълнение на годишния план, възлизащ на 326,5 млн. лв.;</w:t>
      </w:r>
    </w:p>
    <w:p w14:paraId="097B6D47" w14:textId="77777777" w:rsidR="00DC7734" w:rsidRPr="00C46174" w:rsidRDefault="00DC7734" w:rsidP="00DC7734">
      <w:pPr>
        <w:ind w:firstLine="720"/>
        <w:contextualSpacing/>
        <w:jc w:val="both"/>
      </w:pPr>
      <w:r w:rsidRPr="00A5129E">
        <w:t xml:space="preserve">- капиталови трансфери за пазарни мерки – 0,3 млн. лв., изпълнение 50 % </w:t>
      </w:r>
      <w:r>
        <w:t>на</w:t>
      </w:r>
      <w:r w:rsidRPr="00A5129E">
        <w:t xml:space="preserve"> годишн</w:t>
      </w:r>
      <w:r>
        <w:t>ия</w:t>
      </w:r>
      <w:r w:rsidRPr="00A5129E">
        <w:t xml:space="preserve"> разчет </w:t>
      </w:r>
      <w:r w:rsidRPr="00A5129E">
        <w:rPr>
          <w:lang w:val="ru-RU"/>
        </w:rPr>
        <w:t>(</w:t>
      </w:r>
      <w:r w:rsidRPr="00A5129E">
        <w:t>0,6 млн. лв.</w:t>
      </w:r>
      <w:r w:rsidRPr="00A5129E">
        <w:rPr>
          <w:lang w:val="ru-RU"/>
        </w:rPr>
        <w:t>).</w:t>
      </w:r>
    </w:p>
    <w:p w14:paraId="5F1BE494" w14:textId="77777777" w:rsidR="00DC7734" w:rsidRPr="00C46174" w:rsidRDefault="00DC7734" w:rsidP="00DC7734">
      <w:pPr>
        <w:numPr>
          <w:ilvl w:val="0"/>
          <w:numId w:val="19"/>
        </w:numPr>
        <w:tabs>
          <w:tab w:val="left" w:pos="993"/>
        </w:tabs>
        <w:spacing w:before="120" w:after="120"/>
        <w:ind w:left="1321" w:hanging="612"/>
        <w:jc w:val="both"/>
        <w:rPr>
          <w:b/>
          <w:i/>
          <w:lang w:eastAsia="bg-BG"/>
        </w:rPr>
      </w:pPr>
      <w:r w:rsidRPr="00C46174">
        <w:rPr>
          <w:b/>
          <w:i/>
          <w:lang w:eastAsia="bg-BG"/>
        </w:rPr>
        <w:t>Капиталови трансфери за организации с нестопанска цел</w:t>
      </w:r>
    </w:p>
    <w:p w14:paraId="4C1CECEA" w14:textId="77777777" w:rsidR="00DC7734" w:rsidRPr="00C46174" w:rsidRDefault="00DC7734" w:rsidP="00DC7734">
      <w:pPr>
        <w:ind w:firstLine="567"/>
        <w:jc w:val="both"/>
      </w:pPr>
      <w:r w:rsidRPr="00C46174">
        <w:t>Годишните разчети за капиталови трансфери за организации с нестопанска цел за 2023г. възлизат на 45,6 млн. лева. Към 31.12.2023 г. са отчетени 17,1 млн. лв., като степента на изпълнение е 37,5 процента. През предходната година е отчетена 56,5 % степен на изпълнение.</w:t>
      </w:r>
    </w:p>
    <w:p w14:paraId="0CB99D1C" w14:textId="77777777" w:rsidR="00DC7734" w:rsidRPr="00C46174" w:rsidRDefault="00DC7734" w:rsidP="00DC7734">
      <w:pPr>
        <w:tabs>
          <w:tab w:val="left" w:pos="993"/>
        </w:tabs>
        <w:ind w:firstLine="567"/>
        <w:jc w:val="both"/>
      </w:pPr>
      <w:r w:rsidRPr="00C46174">
        <w:t>Разпределението по дейности е както следва:</w:t>
      </w:r>
    </w:p>
    <w:p w14:paraId="47CCF551" w14:textId="77777777" w:rsidR="00DC7734" w:rsidRPr="00C46174" w:rsidRDefault="00DC7734" w:rsidP="00DC7734">
      <w:pPr>
        <w:ind w:firstLine="720"/>
        <w:contextualSpacing/>
        <w:jc w:val="both"/>
      </w:pPr>
      <w:r w:rsidRPr="00D56089">
        <w:rPr>
          <w:color w:val="4F81BD" w:themeColor="accent1"/>
        </w:rPr>
        <w:t xml:space="preserve">- </w:t>
      </w:r>
      <w:r w:rsidRPr="00C46174">
        <w:t>капиталови трансфери по ПМДР – няма усвоени средства, при годишен разчет 1,6 млн. лева;</w:t>
      </w:r>
    </w:p>
    <w:p w14:paraId="1CEBFC78" w14:textId="77777777" w:rsidR="00DC7734" w:rsidRPr="00C46174" w:rsidRDefault="00DC7734" w:rsidP="00DC7734">
      <w:pPr>
        <w:ind w:firstLine="720"/>
        <w:contextualSpacing/>
        <w:jc w:val="both"/>
      </w:pPr>
      <w:r w:rsidRPr="00C46174">
        <w:t>- капиталови трансфери по ПРСР – 17,1 млн. лв., 38,9 % изпълнение на годишния план 44,0 млн. лева.</w:t>
      </w:r>
    </w:p>
    <w:p w14:paraId="24414B7B" w14:textId="77777777" w:rsidR="00DC7734" w:rsidRPr="00C46174" w:rsidRDefault="00DC7734" w:rsidP="00DC7734">
      <w:pPr>
        <w:numPr>
          <w:ilvl w:val="0"/>
          <w:numId w:val="20"/>
        </w:numPr>
        <w:spacing w:before="120" w:after="120" w:line="276" w:lineRule="auto"/>
        <w:ind w:left="777" w:hanging="357"/>
        <w:jc w:val="both"/>
        <w:rPr>
          <w:b/>
          <w:lang w:eastAsia="bg-BG"/>
        </w:rPr>
      </w:pPr>
      <w:r w:rsidRPr="00C46174">
        <w:rPr>
          <w:b/>
          <w:lang w:eastAsia="bg-BG"/>
        </w:rPr>
        <w:t xml:space="preserve">Трансфери </w:t>
      </w:r>
    </w:p>
    <w:p w14:paraId="77F976E3" w14:textId="77777777" w:rsidR="00DC7734" w:rsidRDefault="00DC7734" w:rsidP="00DC7734">
      <w:pPr>
        <w:tabs>
          <w:tab w:val="left" w:pos="540"/>
        </w:tabs>
        <w:ind w:firstLine="567"/>
        <w:jc w:val="both"/>
      </w:pPr>
      <w:r w:rsidRPr="00C46174">
        <w:t>В частта на трансферите, в касовия отчет на ДФЗ-РА към 31.12.2023 г. са отразени следните касови потоци:</w:t>
      </w:r>
    </w:p>
    <w:p w14:paraId="3852CE10" w14:textId="77777777" w:rsidR="00DC7734" w:rsidRDefault="00DC7734" w:rsidP="00DC7734">
      <w:pPr>
        <w:numPr>
          <w:ilvl w:val="0"/>
          <w:numId w:val="19"/>
        </w:numPr>
        <w:tabs>
          <w:tab w:val="left" w:pos="993"/>
        </w:tabs>
        <w:spacing w:before="120" w:after="120"/>
        <w:ind w:left="1321" w:hanging="612"/>
        <w:jc w:val="both"/>
        <w:rPr>
          <w:b/>
          <w:i/>
          <w:lang w:eastAsia="bg-BG"/>
        </w:rPr>
      </w:pPr>
      <w:r>
        <w:rPr>
          <w:b/>
          <w:i/>
          <w:lang w:eastAsia="bg-BG"/>
        </w:rPr>
        <w:t xml:space="preserve">Трансфери между ЦБ и сметки за средства от Европейския съюз </w:t>
      </w:r>
    </w:p>
    <w:p w14:paraId="5BB80F5B" w14:textId="77777777" w:rsidR="00DC7734" w:rsidRPr="008115BC" w:rsidRDefault="00DC7734" w:rsidP="00DC7734">
      <w:pPr>
        <w:tabs>
          <w:tab w:val="left" w:pos="540"/>
          <w:tab w:val="left" w:pos="993"/>
        </w:tabs>
        <w:jc w:val="both"/>
      </w:pPr>
      <w:r>
        <w:tab/>
        <w:t xml:space="preserve">Планираната сума на трансфера от ЦБ за 2023 г. е в размер 335,3 млн. лева. Отчетената стойност е 196,0 млн. лв., съответстваща на получения в края на 2023 г. трансфер от ЦБ за </w:t>
      </w:r>
      <w:r w:rsidRPr="008115BC">
        <w:t>компенсиране на средствата, изплатени от РА за сметка на национално съфинансиране към фондовете ЕФГЗ, ЕЗФРСР, ЕФМДР и ЕФР.</w:t>
      </w:r>
    </w:p>
    <w:p w14:paraId="3F320434" w14:textId="77777777" w:rsidR="00DC7734" w:rsidRPr="008115BC" w:rsidRDefault="00DC7734" w:rsidP="00DC7734">
      <w:pPr>
        <w:numPr>
          <w:ilvl w:val="0"/>
          <w:numId w:val="19"/>
        </w:numPr>
        <w:tabs>
          <w:tab w:val="left" w:pos="993"/>
        </w:tabs>
        <w:spacing w:before="120" w:after="120"/>
        <w:ind w:left="1321" w:hanging="612"/>
        <w:jc w:val="both"/>
        <w:rPr>
          <w:b/>
          <w:i/>
          <w:lang w:eastAsia="bg-BG"/>
        </w:rPr>
      </w:pPr>
      <w:r w:rsidRPr="008115BC">
        <w:rPr>
          <w:b/>
          <w:i/>
          <w:lang w:eastAsia="bg-BG"/>
        </w:rPr>
        <w:t xml:space="preserve">Трансфери между бюджети и сметки за средства от Европейския съюз </w:t>
      </w:r>
    </w:p>
    <w:p w14:paraId="7CD8192D" w14:textId="77777777" w:rsidR="00DC7734" w:rsidRPr="008115BC" w:rsidRDefault="00DC7734" w:rsidP="00DC7734">
      <w:pPr>
        <w:ind w:firstLine="567"/>
        <w:jc w:val="both"/>
      </w:pPr>
      <w:r w:rsidRPr="008115BC">
        <w:t>Получените трансфери от бюджетни сметки на бюджетни организации и общини са формирани при възстановяване на суми по вземания по ПРСР, ПМДР и директни плащания. За периода 01.01-31.12.2023 г. техният размер е 2,5 млн. лева.</w:t>
      </w:r>
    </w:p>
    <w:p w14:paraId="094ACED5" w14:textId="77777777" w:rsidR="00DC7734" w:rsidRPr="008115BC" w:rsidRDefault="00DC7734" w:rsidP="00DC7734">
      <w:pPr>
        <w:ind w:firstLine="567"/>
        <w:jc w:val="both"/>
      </w:pPr>
      <w:r w:rsidRPr="008115BC">
        <w:t>Предоставените за периода трансфери във връзка с чл.14 от Закона за подпомагане на земеделските производители възлизат на 0,7 млн. лева.</w:t>
      </w:r>
    </w:p>
    <w:p w14:paraId="15ED820B" w14:textId="77777777" w:rsidR="00DC7734" w:rsidRPr="008115BC" w:rsidRDefault="00DC7734" w:rsidP="00DC7734">
      <w:pPr>
        <w:numPr>
          <w:ilvl w:val="0"/>
          <w:numId w:val="19"/>
        </w:numPr>
        <w:tabs>
          <w:tab w:val="left" w:pos="993"/>
        </w:tabs>
        <w:spacing w:before="120" w:after="120"/>
        <w:ind w:left="1321" w:hanging="612"/>
        <w:jc w:val="both"/>
        <w:rPr>
          <w:b/>
          <w:i/>
          <w:lang w:eastAsia="bg-BG"/>
        </w:rPr>
      </w:pPr>
      <w:r w:rsidRPr="008115BC">
        <w:rPr>
          <w:b/>
          <w:i/>
          <w:lang w:eastAsia="bg-BG"/>
        </w:rPr>
        <w:t>Трансфери между сметки за средства от Европейския съюз:</w:t>
      </w:r>
    </w:p>
    <w:p w14:paraId="53A2B078" w14:textId="77777777" w:rsidR="00DC7734" w:rsidRPr="008115BC" w:rsidRDefault="00DC7734" w:rsidP="00DC7734">
      <w:pPr>
        <w:tabs>
          <w:tab w:val="left" w:pos="540"/>
        </w:tabs>
        <w:ind w:firstLine="567"/>
        <w:jc w:val="both"/>
      </w:pPr>
      <w:r w:rsidRPr="008115BC">
        <w:t>Предоставените трансфери са формирани от изплатените субсидии на публични бенефициенти и възстановените от тях суми. Към 31.12.202</w:t>
      </w:r>
      <w:r w:rsidRPr="008115BC">
        <w:rPr>
          <w:lang w:val="en-US"/>
        </w:rPr>
        <w:t>3</w:t>
      </w:r>
      <w:r w:rsidRPr="008115BC">
        <w:t xml:space="preserve"> г. са отчетени 1</w:t>
      </w:r>
      <w:r w:rsidRPr="008115BC">
        <w:rPr>
          <w:lang w:val="en-US"/>
        </w:rPr>
        <w:t>56</w:t>
      </w:r>
      <w:r w:rsidRPr="008115BC">
        <w:t xml:space="preserve">,5 млн. лв., в т.ч.: </w:t>
      </w:r>
    </w:p>
    <w:p w14:paraId="2358C895" w14:textId="77777777" w:rsidR="00DC7734" w:rsidRPr="008115BC" w:rsidRDefault="00DC7734" w:rsidP="00DC7734">
      <w:pPr>
        <w:numPr>
          <w:ilvl w:val="0"/>
          <w:numId w:val="34"/>
        </w:numPr>
        <w:tabs>
          <w:tab w:val="left" w:pos="540"/>
          <w:tab w:val="left" w:pos="851"/>
        </w:tabs>
        <w:ind w:left="0" w:firstLine="567"/>
        <w:contextualSpacing/>
        <w:jc w:val="both"/>
      </w:pPr>
      <w:r w:rsidRPr="008115BC">
        <w:t xml:space="preserve">по Програмата за развитие на селските райони: 145,3 млн. лв.; </w:t>
      </w:r>
    </w:p>
    <w:p w14:paraId="2013BF91" w14:textId="77777777" w:rsidR="00DC7734" w:rsidRPr="008115BC" w:rsidRDefault="00DC7734" w:rsidP="00DC7734">
      <w:pPr>
        <w:numPr>
          <w:ilvl w:val="0"/>
          <w:numId w:val="34"/>
        </w:numPr>
        <w:tabs>
          <w:tab w:val="left" w:pos="540"/>
          <w:tab w:val="left" w:pos="851"/>
        </w:tabs>
        <w:ind w:left="0" w:firstLine="567"/>
        <w:contextualSpacing/>
        <w:jc w:val="both"/>
      </w:pPr>
      <w:r w:rsidRPr="008115BC">
        <w:t>национално съфинансиране към директни плащания: 0,1 млн. лв.;</w:t>
      </w:r>
    </w:p>
    <w:p w14:paraId="30A8E36F" w14:textId="77777777" w:rsidR="00DC7734" w:rsidRPr="008115BC" w:rsidRDefault="00DC7734" w:rsidP="00DC7734">
      <w:pPr>
        <w:numPr>
          <w:ilvl w:val="0"/>
          <w:numId w:val="34"/>
        </w:numPr>
        <w:tabs>
          <w:tab w:val="left" w:pos="540"/>
          <w:tab w:val="left" w:pos="851"/>
        </w:tabs>
        <w:ind w:left="0" w:firstLine="567"/>
        <w:contextualSpacing/>
        <w:jc w:val="both"/>
      </w:pPr>
      <w:r w:rsidRPr="008115BC">
        <w:t>по Програмата за морско дело и рибарство: 11,0 млн. лв.;</w:t>
      </w:r>
    </w:p>
    <w:p w14:paraId="5A29F748" w14:textId="77777777" w:rsidR="00DC7734" w:rsidRPr="008115BC" w:rsidRDefault="00DC7734" w:rsidP="00DC7734">
      <w:pPr>
        <w:numPr>
          <w:ilvl w:val="0"/>
          <w:numId w:val="34"/>
        </w:numPr>
        <w:tabs>
          <w:tab w:val="left" w:pos="540"/>
          <w:tab w:val="left" w:pos="851"/>
        </w:tabs>
        <w:ind w:left="0" w:firstLine="567"/>
        <w:contextualSpacing/>
        <w:jc w:val="both"/>
      </w:pPr>
      <w:r w:rsidRPr="008115BC">
        <w:t>пазарни мерки</w:t>
      </w:r>
      <w:r w:rsidRPr="008115BC">
        <w:rPr>
          <w:lang w:val="en-US"/>
        </w:rPr>
        <w:t xml:space="preserve">: </w:t>
      </w:r>
      <w:r w:rsidRPr="008115BC">
        <w:t>0,1 млн. лева.</w:t>
      </w:r>
    </w:p>
    <w:p w14:paraId="17007CD2" w14:textId="77777777" w:rsidR="00DC7734" w:rsidRPr="008115BC" w:rsidRDefault="00DC7734" w:rsidP="00DC7734">
      <w:pPr>
        <w:tabs>
          <w:tab w:val="left" w:pos="540"/>
        </w:tabs>
        <w:ind w:firstLine="567"/>
        <w:jc w:val="both"/>
      </w:pPr>
      <w:r w:rsidRPr="008115BC">
        <w:t>През 2022 г. предоставените трансфери са възлизали на 174,3 млн. лева.</w:t>
      </w:r>
    </w:p>
    <w:p w14:paraId="08C13AD7" w14:textId="77777777" w:rsidR="00DC7734" w:rsidRPr="008115BC" w:rsidRDefault="00DC7734" w:rsidP="00DC7734">
      <w:pPr>
        <w:numPr>
          <w:ilvl w:val="0"/>
          <w:numId w:val="20"/>
        </w:numPr>
        <w:spacing w:before="120" w:after="120" w:line="276" w:lineRule="auto"/>
        <w:ind w:left="777" w:hanging="357"/>
        <w:jc w:val="both"/>
        <w:rPr>
          <w:b/>
          <w:lang w:eastAsia="bg-BG"/>
        </w:rPr>
      </w:pPr>
      <w:r w:rsidRPr="008115BC">
        <w:rPr>
          <w:b/>
          <w:lang w:eastAsia="bg-BG"/>
        </w:rPr>
        <w:t>Финансиране</w:t>
      </w:r>
    </w:p>
    <w:p w14:paraId="77FB0692" w14:textId="77777777" w:rsidR="00DC7734" w:rsidRPr="008115BC" w:rsidRDefault="00DC7734" w:rsidP="00DC7734">
      <w:pPr>
        <w:numPr>
          <w:ilvl w:val="0"/>
          <w:numId w:val="19"/>
        </w:numPr>
        <w:tabs>
          <w:tab w:val="left" w:pos="993"/>
        </w:tabs>
        <w:spacing w:before="120" w:after="120"/>
        <w:ind w:left="851" w:hanging="425"/>
        <w:jc w:val="both"/>
        <w:rPr>
          <w:b/>
          <w:lang w:eastAsia="bg-BG"/>
        </w:rPr>
      </w:pPr>
      <w:r w:rsidRPr="008115BC">
        <w:rPr>
          <w:b/>
          <w:lang w:eastAsia="bg-BG"/>
        </w:rPr>
        <w:t>Суми по разчети за поети осигурителни вноски и данъци</w:t>
      </w:r>
    </w:p>
    <w:p w14:paraId="7437FF47" w14:textId="77777777" w:rsidR="00DC7734" w:rsidRPr="008115BC" w:rsidRDefault="00DC7734" w:rsidP="00DC7734">
      <w:pPr>
        <w:ind w:firstLine="567"/>
        <w:jc w:val="both"/>
        <w:rPr>
          <w:lang w:eastAsia="bg-BG"/>
        </w:rPr>
      </w:pPr>
      <w:r w:rsidRPr="008115BC">
        <w:rPr>
          <w:lang w:eastAsia="bg-BG"/>
        </w:rPr>
        <w:t>Към края на 2023 г. сумата по разчети за поети данъци, формирани от удържан и внесен окончателен данък на физически лица, съгл. чл. 65, ал. 14 от ЗДДФЛ възлиза нето на 0,1 млн. лева.</w:t>
      </w:r>
    </w:p>
    <w:p w14:paraId="23494AE5" w14:textId="77777777" w:rsidR="00DC7734" w:rsidRPr="008115BC" w:rsidRDefault="00DC7734" w:rsidP="00DC7734">
      <w:pPr>
        <w:numPr>
          <w:ilvl w:val="0"/>
          <w:numId w:val="19"/>
        </w:numPr>
        <w:tabs>
          <w:tab w:val="left" w:pos="993"/>
        </w:tabs>
        <w:spacing w:before="120" w:after="120"/>
        <w:ind w:left="851" w:hanging="425"/>
        <w:jc w:val="both"/>
        <w:rPr>
          <w:b/>
          <w:lang w:eastAsia="bg-BG"/>
        </w:rPr>
      </w:pPr>
      <w:r w:rsidRPr="008115BC">
        <w:rPr>
          <w:b/>
          <w:lang w:eastAsia="bg-BG"/>
        </w:rPr>
        <w:t>Друго финансиране</w:t>
      </w:r>
    </w:p>
    <w:p w14:paraId="4DCAEFA8" w14:textId="77777777" w:rsidR="00DC7734" w:rsidRPr="008115BC" w:rsidRDefault="00DC7734" w:rsidP="00DC7734">
      <w:pPr>
        <w:ind w:firstLine="567"/>
        <w:jc w:val="both"/>
        <w:rPr>
          <w:lang w:eastAsia="bg-BG"/>
        </w:rPr>
      </w:pPr>
      <w:r w:rsidRPr="008115BC">
        <w:rPr>
          <w:lang w:eastAsia="bg-BG"/>
        </w:rPr>
        <w:t>За периода 01.01-31.12.2023 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154,4 млн.</w:t>
      </w:r>
      <w:r w:rsidRPr="008115BC">
        <w:rPr>
          <w:lang w:val="ru-RU" w:eastAsia="bg-BG"/>
        </w:rPr>
        <w:t xml:space="preserve"> </w:t>
      </w:r>
      <w:r w:rsidRPr="008115BC">
        <w:rPr>
          <w:lang w:eastAsia="bg-BG"/>
        </w:rPr>
        <w:t>лв., при планирани 31,0 млн.</w:t>
      </w:r>
      <w:r w:rsidRPr="008115BC">
        <w:rPr>
          <w:lang w:val="ru-RU" w:eastAsia="bg-BG"/>
        </w:rPr>
        <w:t xml:space="preserve"> </w:t>
      </w:r>
      <w:r w:rsidRPr="008115BC">
        <w:rPr>
          <w:lang w:eastAsia="bg-BG"/>
        </w:rPr>
        <w:t>лева.</w:t>
      </w:r>
    </w:p>
    <w:p w14:paraId="7D58F045" w14:textId="77777777" w:rsidR="00DC7734" w:rsidRPr="008115BC" w:rsidRDefault="00DC7734" w:rsidP="00DC7734">
      <w:pPr>
        <w:ind w:firstLine="567"/>
        <w:jc w:val="both"/>
        <w:rPr>
          <w:lang w:eastAsia="bg-BG"/>
        </w:rPr>
      </w:pPr>
      <w:r w:rsidRPr="008115BC">
        <w:rPr>
          <w:lang w:eastAsia="bg-BG"/>
        </w:rPr>
        <w:t>Към 31.12.2023 г. са отчетени плащания в общ размер на 1 544,5 млн. лв., представляващи 75,5 % от годишните разчети, които са 2</w:t>
      </w:r>
      <w:r w:rsidRPr="008115BC">
        <w:rPr>
          <w:lang w:val="en-US" w:eastAsia="bg-BG"/>
        </w:rPr>
        <w:t> </w:t>
      </w:r>
      <w:r w:rsidRPr="008115BC">
        <w:rPr>
          <w:lang w:eastAsia="bg-BG"/>
        </w:rPr>
        <w:t>045,2 млн. лева. За 2022 г. плащанията, отчетени в частта на финансирането са били 1 874,0 млн. лева.</w:t>
      </w:r>
    </w:p>
    <w:p w14:paraId="58068B04" w14:textId="77777777" w:rsidR="00DC7734" w:rsidRPr="002F2441" w:rsidRDefault="00DC7734" w:rsidP="00DC7734">
      <w:pPr>
        <w:ind w:firstLine="567"/>
        <w:jc w:val="both"/>
        <w:rPr>
          <w:lang w:eastAsia="bg-BG"/>
        </w:rPr>
      </w:pPr>
      <w:r w:rsidRPr="002F2441">
        <w:rPr>
          <w:lang w:eastAsia="bg-BG"/>
        </w:rPr>
        <w:t>Отчетените плащания са по следните направления:</w:t>
      </w:r>
    </w:p>
    <w:p w14:paraId="0E0FED5A"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1 335,9 млн. лв. за директни плащания за сметка на ЕФГЗ, представляващи 78,8 % от планираните 1 694,4 млн. лв.;</w:t>
      </w:r>
    </w:p>
    <w:p w14:paraId="14114175"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128,4 млн. лв. средства от ЕЗФРСР, прехвърлени към директни плащания, което е 46,2</w:t>
      </w:r>
      <w:r w:rsidRPr="002F2441">
        <w:rPr>
          <w:szCs w:val="20"/>
          <w:lang w:val="en-US"/>
        </w:rPr>
        <w:t> </w:t>
      </w:r>
      <w:r w:rsidRPr="002F2441">
        <w:rPr>
          <w:szCs w:val="20"/>
        </w:rPr>
        <w:t>% от планираните  278,1 млн. лв.;</w:t>
      </w:r>
    </w:p>
    <w:p w14:paraId="7508DBF9"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70,3 млн. лв. за пазарни мерки при разчет за плащания в размер 60,3 млн. лв. изпълнение 116,6 процента;</w:t>
      </w:r>
    </w:p>
    <w:p w14:paraId="6FEBE1AE"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9,9 млн. лв. за преструктуриране, изпълнение 80,5 % от планираните плащания в размер 12,3 млн. лева.</w:t>
      </w:r>
    </w:p>
    <w:p w14:paraId="473DC4B9" w14:textId="77777777" w:rsidR="00DC7734" w:rsidRPr="002F2441" w:rsidRDefault="00DC7734" w:rsidP="00DC7734">
      <w:pPr>
        <w:ind w:firstLine="567"/>
        <w:jc w:val="both"/>
        <w:rPr>
          <w:lang w:eastAsia="bg-BG"/>
        </w:rPr>
      </w:pPr>
      <w:r w:rsidRPr="002F2441">
        <w:rPr>
          <w:lang w:eastAsia="bg-BG"/>
        </w:rPr>
        <w:t>Възстановените суми от Европейския съюз към 31.12.2023 г. възлизат общо на 1 863,2</w:t>
      </w:r>
      <w:r w:rsidRPr="002F2441">
        <w:rPr>
          <w:lang w:val="en-US" w:eastAsia="bg-BG"/>
        </w:rPr>
        <w:t> </w:t>
      </w:r>
      <w:r w:rsidRPr="002F2441">
        <w:rPr>
          <w:lang w:eastAsia="bg-BG"/>
        </w:rPr>
        <w:t>млн. лв., представляващи 97,3 % от планираните 1</w:t>
      </w:r>
      <w:r w:rsidRPr="002F2441">
        <w:rPr>
          <w:lang w:val="en-US" w:eastAsia="bg-BG"/>
        </w:rPr>
        <w:t> </w:t>
      </w:r>
      <w:r w:rsidRPr="002F2441">
        <w:rPr>
          <w:lang w:eastAsia="bg-BG"/>
        </w:rPr>
        <w:t>915,7 млн. лева. Степента на изпълнение за 2022 г. е била 100 процента.</w:t>
      </w:r>
    </w:p>
    <w:p w14:paraId="27B0D86E" w14:textId="77777777" w:rsidR="00DC7734" w:rsidRPr="002F2441" w:rsidRDefault="00DC7734" w:rsidP="00DC7734">
      <w:pPr>
        <w:ind w:firstLine="567"/>
        <w:jc w:val="both"/>
        <w:rPr>
          <w:lang w:eastAsia="bg-BG"/>
        </w:rPr>
      </w:pPr>
      <w:r w:rsidRPr="002F2441">
        <w:rPr>
          <w:lang w:eastAsia="bg-BG"/>
        </w:rPr>
        <w:t>Възстановени са суми по следните направления:</w:t>
      </w:r>
    </w:p>
    <w:p w14:paraId="466BCB07"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1</w:t>
      </w:r>
      <w:r w:rsidRPr="002F2441">
        <w:rPr>
          <w:szCs w:val="20"/>
          <w:lang w:val="en-US"/>
        </w:rPr>
        <w:t> </w:t>
      </w:r>
      <w:r w:rsidRPr="002F2441">
        <w:rPr>
          <w:szCs w:val="20"/>
        </w:rPr>
        <w:t>552,9 млн. лв. за директни плащания от ЕФГЗ, 97,8 % от планираните 1 587,7 млн. лв.;</w:t>
      </w:r>
    </w:p>
    <w:p w14:paraId="3058A7EE"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251,3 млн. лв. от ЕЗФРСР, прехвърлени към директни плащания – 97,0 % от заложените 259 млн. лв.;</w:t>
      </w:r>
    </w:p>
    <w:p w14:paraId="542F2DE0"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49,3 млн. лв. за пазарни мерки от ЕФГЗ при планирани 58,3 млн. лв., степен на изпълнение: 84,7 процента;</w:t>
      </w:r>
    </w:p>
    <w:p w14:paraId="30FFD11A" w14:textId="77777777" w:rsidR="00DC7734" w:rsidRPr="002F2441" w:rsidRDefault="00DC7734" w:rsidP="00DC7734">
      <w:pPr>
        <w:numPr>
          <w:ilvl w:val="0"/>
          <w:numId w:val="21"/>
        </w:numPr>
        <w:tabs>
          <w:tab w:val="left" w:pos="993"/>
        </w:tabs>
        <w:ind w:left="0" w:firstLine="709"/>
        <w:contextualSpacing/>
        <w:jc w:val="both"/>
        <w:rPr>
          <w:szCs w:val="20"/>
        </w:rPr>
      </w:pPr>
      <w:r w:rsidRPr="002F2441">
        <w:rPr>
          <w:szCs w:val="20"/>
        </w:rPr>
        <w:t xml:space="preserve">9,6 млн. лв. за преструктуриране от ЕФГЗ при планирани 10,7 млн. лв., изпълнение 89,7 процента. </w:t>
      </w:r>
    </w:p>
    <w:p w14:paraId="6105AD68" w14:textId="77777777" w:rsidR="00DC7734" w:rsidRPr="002F2441" w:rsidRDefault="00DC7734" w:rsidP="00DC7734">
      <w:pPr>
        <w:tabs>
          <w:tab w:val="left" w:pos="709"/>
        </w:tabs>
        <w:spacing w:after="120"/>
        <w:ind w:firstLine="567"/>
        <w:contextualSpacing/>
        <w:jc w:val="both"/>
      </w:pPr>
      <w:r w:rsidRPr="002F2441">
        <w:rPr>
          <w:lang w:eastAsia="bg-BG"/>
        </w:rPr>
        <w:t xml:space="preserve">Предоставените суми (нето) </w:t>
      </w:r>
      <w:r w:rsidRPr="002F2441">
        <w:t>по разчети с ЦБ за финансиране на плащания при недостиг на средства по сметки</w:t>
      </w:r>
      <w:r w:rsidRPr="002F2441">
        <w:rPr>
          <w:lang w:eastAsia="bg-BG"/>
        </w:rPr>
        <w:t xml:space="preserve"> към 31.12.2023 г. възлизат на -164,3 млн. лв. при планирани 160,5 млн. лева.</w:t>
      </w:r>
    </w:p>
    <w:p w14:paraId="6E65954E" w14:textId="77777777" w:rsidR="00EB292B" w:rsidRPr="00D56089" w:rsidRDefault="00EB292B" w:rsidP="00EB292B">
      <w:pPr>
        <w:tabs>
          <w:tab w:val="left" w:pos="540"/>
        </w:tabs>
        <w:spacing w:before="120"/>
        <w:ind w:firstLine="567"/>
        <w:jc w:val="both"/>
        <w:rPr>
          <w:color w:val="4F81BD" w:themeColor="accent1"/>
        </w:rPr>
      </w:pPr>
      <w:r w:rsidRPr="00D56089">
        <w:rPr>
          <w:color w:val="4F81BD" w:themeColor="accent1"/>
          <w:lang w:eastAsia="bg-BG"/>
        </w:rPr>
        <w:tab/>
      </w:r>
    </w:p>
    <w:p w14:paraId="4A1DB3F1" w14:textId="77777777" w:rsidR="00EB292B" w:rsidRPr="003A601D" w:rsidRDefault="00EB292B" w:rsidP="00EB292B">
      <w:pPr>
        <w:pStyle w:val="Heading1"/>
        <w:numPr>
          <w:ilvl w:val="1"/>
          <w:numId w:val="9"/>
        </w:numPr>
        <w:spacing w:after="120"/>
        <w:ind w:left="792" w:right="-115" w:hanging="432"/>
        <w:jc w:val="both"/>
        <w:rPr>
          <w:sz w:val="24"/>
        </w:rPr>
      </w:pPr>
      <w:bookmarkStart w:id="105" w:name="_Toc83045529"/>
      <w:r w:rsidRPr="003A601D">
        <w:rPr>
          <w:sz w:val="24"/>
        </w:rPr>
        <w:t>Сметка за средствата от Европейския съюз на Национален фонд към Министерство на финансите</w:t>
      </w:r>
      <w:bookmarkEnd w:id="105"/>
    </w:p>
    <w:p w14:paraId="0FE44FD7" w14:textId="77777777" w:rsidR="000233B1" w:rsidRDefault="000233B1" w:rsidP="000233B1">
      <w:pPr>
        <w:ind w:firstLine="567"/>
        <w:jc w:val="both"/>
        <w:rPr>
          <w:bCs/>
          <w:color w:val="7030A0"/>
          <w:szCs w:val="20"/>
        </w:rPr>
      </w:pPr>
      <w:r>
        <w:rPr>
          <w:bCs/>
        </w:rPr>
        <w:t>По сметките на НФ към 3</w:t>
      </w:r>
      <w:r>
        <w:rPr>
          <w:bCs/>
          <w:lang w:val="ru-RU"/>
        </w:rPr>
        <w:t>1</w:t>
      </w:r>
      <w:r>
        <w:rPr>
          <w:bCs/>
        </w:rPr>
        <w:t>.</w:t>
      </w:r>
      <w:r>
        <w:rPr>
          <w:bCs/>
          <w:lang w:val="ru-RU"/>
        </w:rPr>
        <w:t>12</w:t>
      </w:r>
      <w:r>
        <w:rPr>
          <w:bCs/>
        </w:rPr>
        <w:t>.2023 г. са постъпили приходи (нето) в размер на 3 192.4</w:t>
      </w:r>
      <w:r w:rsidRPr="002F2441">
        <w:rPr>
          <w:bCs/>
          <w:lang w:val="ru-RU"/>
        </w:rPr>
        <w:t xml:space="preserve"> </w:t>
      </w:r>
      <w:r>
        <w:rPr>
          <w:bCs/>
        </w:rPr>
        <w:t>млн. лв.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както Европейския социален фонд+, двустранните програми за трансгранично сътрудничество по външните граници на EС (ПТСВГ) по двата програмни периода, ФМ на ЕИП и НФМ,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14:paraId="44D7B044" w14:textId="77777777" w:rsidR="000233B1" w:rsidRDefault="000233B1" w:rsidP="000233B1">
      <w:pPr>
        <w:ind w:firstLine="567"/>
        <w:jc w:val="both"/>
        <w:rPr>
          <w:bCs/>
        </w:rPr>
      </w:pPr>
      <w:r>
        <w:rPr>
          <w:bCs/>
        </w:rPr>
        <w:t>Извършените разходи (нето) за годината с натрупване чрез сметките на НФ възлизат на 889,6 млн. лева. По видове разходи изпълнението е както следва: 87,85 % от общата стойност са капиталови трансфери, 1</w:t>
      </w:r>
      <w:r w:rsidRPr="002F2441">
        <w:rPr>
          <w:bCs/>
          <w:lang w:val="ru-RU"/>
        </w:rPr>
        <w:t>0</w:t>
      </w:r>
      <w:r>
        <w:rPr>
          <w:bCs/>
          <w:lang w:val="ru-RU"/>
        </w:rPr>
        <w:t>,</w:t>
      </w:r>
      <w:r>
        <w:rPr>
          <w:bCs/>
        </w:rPr>
        <w:t>41 % са субсидии, 1,74 % предоставени текущи и капиталови трансфери за чужбина и 0,005 % - издръжка.</w:t>
      </w:r>
    </w:p>
    <w:p w14:paraId="2191ED48" w14:textId="77777777" w:rsidR="000233B1" w:rsidRDefault="000233B1" w:rsidP="000233B1">
      <w:pPr>
        <w:ind w:firstLine="567"/>
        <w:jc w:val="both"/>
        <w:rPr>
          <w:bCs/>
        </w:rPr>
      </w:pPr>
      <w:r>
        <w:rPr>
          <w:bCs/>
        </w:rPr>
        <w:t>Трансферите (нето), временните безлихвени заеми (нето) и временна възмездна финансова помощ за 2023 г. са на стойност 2 723,0 млн. лв. (включват предоставените трансфери към бенефициенти по Оперативните програми (ОП) на ЕС - програмен период 2014 – 2020 г. и програмен период 2021 – 2027 г., ПТСВГ за периода 2014 – 2020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7648AF0E" w14:textId="77777777" w:rsidR="000233B1" w:rsidRDefault="000233B1" w:rsidP="000233B1">
      <w:pPr>
        <w:ind w:firstLine="567"/>
        <w:jc w:val="both"/>
        <w:rPr>
          <w:bCs/>
        </w:rPr>
      </w:pPr>
      <w:r>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494,6 млн. лева.</w:t>
      </w:r>
    </w:p>
    <w:p w14:paraId="5D70AC5D" w14:textId="77777777" w:rsidR="000233B1" w:rsidRDefault="000233B1" w:rsidP="000233B1">
      <w:pPr>
        <w:ind w:firstLine="567"/>
        <w:jc w:val="both"/>
        <w:rPr>
          <w:bCs/>
        </w:rPr>
      </w:pPr>
      <w:r>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1,1 млн. лева.</w:t>
      </w:r>
    </w:p>
    <w:p w14:paraId="4691446D" w14:textId="77777777" w:rsidR="000233B1" w:rsidRDefault="000233B1" w:rsidP="000233B1">
      <w:pPr>
        <w:spacing w:before="120"/>
        <w:ind w:firstLine="686"/>
        <w:jc w:val="both"/>
        <w:rPr>
          <w:b/>
          <w:bCs/>
        </w:rPr>
      </w:pPr>
      <w:r>
        <w:rPr>
          <w:b/>
          <w:bCs/>
        </w:rPr>
        <w:t>Структурни и Кохезионен фондове (СКФ) 2007 – 2013 г.</w:t>
      </w:r>
    </w:p>
    <w:p w14:paraId="4DFADEDE" w14:textId="77777777" w:rsidR="000233B1" w:rsidRDefault="000233B1" w:rsidP="000233B1">
      <w:pPr>
        <w:ind w:firstLine="567"/>
        <w:jc w:val="both"/>
      </w:pPr>
      <w:r>
        <w:rPr>
          <w:bCs/>
        </w:rPr>
        <w:t>През 2023 г. са отчетени (нето) възстановени суми от бенефициенти на стойност на 21,9 млн. лв., а възстановеното авансово финансиране по реда на ДДС6/2011 г</w:t>
      </w:r>
      <w:r>
        <w:t xml:space="preserve">. </w:t>
      </w:r>
      <w:r>
        <w:rPr>
          <w:bCs/>
        </w:rPr>
        <w:t>е в размер на 1,0 млн. лева.</w:t>
      </w:r>
    </w:p>
    <w:p w14:paraId="2C44B940" w14:textId="77777777" w:rsidR="000233B1" w:rsidRDefault="000233B1" w:rsidP="000233B1">
      <w:pPr>
        <w:spacing w:before="120"/>
        <w:ind w:firstLine="686"/>
        <w:jc w:val="both"/>
        <w:rPr>
          <w:b/>
          <w:bCs/>
        </w:rPr>
      </w:pPr>
      <w:r>
        <w:rPr>
          <w:bCs/>
          <w:color w:val="7030A0"/>
        </w:rPr>
        <w:t xml:space="preserve"> </w:t>
      </w:r>
      <w:r>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6383947B" w14:textId="77777777" w:rsidR="000233B1" w:rsidRDefault="000233B1" w:rsidP="000233B1">
      <w:pPr>
        <w:ind w:firstLine="567"/>
        <w:jc w:val="both"/>
        <w:rPr>
          <w:bCs/>
        </w:rPr>
      </w:pPr>
      <w:r>
        <w:rPr>
          <w:bCs/>
        </w:rPr>
        <w:t xml:space="preserve">Общо получените средства (нето) от ЕК за периода са в размер на 2 431,9 млн. лв. (в тях влизат и получените приходи по REACT-EU в размер на 147,5 млн. лева и за </w:t>
      </w:r>
      <w:r>
        <w:rPr>
          <w:bCs/>
          <w:lang w:val="en-US"/>
        </w:rPr>
        <w:t>SAFE</w:t>
      </w:r>
      <w:r w:rsidRPr="002F2441">
        <w:rPr>
          <w:bCs/>
          <w:lang w:val="ru-RU"/>
        </w:rPr>
        <w:t xml:space="preserve"> </w:t>
      </w:r>
      <w:r>
        <w:rPr>
          <w:bCs/>
        </w:rPr>
        <w:t>в размер на 725,5 млн. лева) и са разпределени както следва:</w:t>
      </w:r>
    </w:p>
    <w:p w14:paraId="49E4106B" w14:textId="77777777" w:rsidR="000233B1" w:rsidRDefault="000233B1" w:rsidP="000233B1">
      <w:pPr>
        <w:numPr>
          <w:ilvl w:val="0"/>
          <w:numId w:val="11"/>
        </w:numPr>
        <w:tabs>
          <w:tab w:val="clear" w:pos="1101"/>
          <w:tab w:val="num" w:pos="786"/>
        </w:tabs>
        <w:ind w:left="786"/>
        <w:jc w:val="both"/>
        <w:rPr>
          <w:bCs/>
        </w:rPr>
      </w:pPr>
      <w:r>
        <w:rPr>
          <w:bCs/>
        </w:rPr>
        <w:t>ОП „Транспорт и транспортна инфраструктура” – 503,3 млн. лв. (вкл. за SAFE в размер на 242,9 млн. лева);</w:t>
      </w:r>
    </w:p>
    <w:p w14:paraId="4D56BBA0" w14:textId="21E47B17" w:rsidR="000233B1" w:rsidRPr="00910D1B" w:rsidRDefault="000233B1" w:rsidP="000233B1">
      <w:pPr>
        <w:numPr>
          <w:ilvl w:val="0"/>
          <w:numId w:val="11"/>
        </w:numPr>
        <w:tabs>
          <w:tab w:val="clear" w:pos="1101"/>
          <w:tab w:val="num" w:pos="786"/>
        </w:tabs>
        <w:ind w:left="786"/>
        <w:jc w:val="both"/>
        <w:rPr>
          <w:bCs/>
        </w:rPr>
      </w:pPr>
      <w:r w:rsidRPr="00910D1B">
        <w:rPr>
          <w:bCs/>
        </w:rPr>
        <w:t>ОП „Околна среда 2014 – 2020 г.“ – 662,8 млн. лв. (вкл. за SAFE в размер на 255,1</w:t>
      </w:r>
      <w:r w:rsidR="0063495A">
        <w:rPr>
          <w:bCs/>
        </w:rPr>
        <w:t> </w:t>
      </w:r>
      <w:r w:rsidRPr="00910D1B">
        <w:rPr>
          <w:bCs/>
        </w:rPr>
        <w:t>млн. лева);</w:t>
      </w:r>
    </w:p>
    <w:p w14:paraId="1368D267" w14:textId="77777777" w:rsidR="000233B1" w:rsidRPr="00910D1B" w:rsidRDefault="000233B1" w:rsidP="000233B1">
      <w:pPr>
        <w:numPr>
          <w:ilvl w:val="0"/>
          <w:numId w:val="11"/>
        </w:numPr>
        <w:tabs>
          <w:tab w:val="clear" w:pos="1101"/>
          <w:tab w:val="num" w:pos="786"/>
        </w:tabs>
        <w:ind w:left="786"/>
        <w:jc w:val="both"/>
        <w:rPr>
          <w:bCs/>
        </w:rPr>
      </w:pPr>
      <w:r w:rsidRPr="00910D1B">
        <w:rPr>
          <w:bCs/>
        </w:rPr>
        <w:t>ОП „Развитие на човешките ресурси 2014 - 2020 г.” – 208</w:t>
      </w:r>
      <w:r>
        <w:rPr>
          <w:bCs/>
        </w:rPr>
        <w:t>,</w:t>
      </w:r>
      <w:r w:rsidRPr="00910D1B">
        <w:rPr>
          <w:bCs/>
        </w:rPr>
        <w:t>9 млн. лв.</w:t>
      </w:r>
      <w:r w:rsidRPr="00910D1B">
        <w:t xml:space="preserve"> (</w:t>
      </w:r>
      <w:r w:rsidRPr="00910D1B">
        <w:rPr>
          <w:bCs/>
        </w:rPr>
        <w:t>вкл. за REACT-EU в размер на 45</w:t>
      </w:r>
      <w:r>
        <w:rPr>
          <w:bCs/>
        </w:rPr>
        <w:t>,</w:t>
      </w:r>
      <w:r w:rsidRPr="00910D1B">
        <w:rPr>
          <w:bCs/>
        </w:rPr>
        <w:t>2 млн. лева);</w:t>
      </w:r>
    </w:p>
    <w:p w14:paraId="375C74C3" w14:textId="77777777" w:rsidR="000233B1" w:rsidRPr="00910D1B" w:rsidRDefault="000233B1" w:rsidP="000233B1">
      <w:pPr>
        <w:numPr>
          <w:ilvl w:val="0"/>
          <w:numId w:val="11"/>
        </w:numPr>
        <w:tabs>
          <w:tab w:val="clear" w:pos="1101"/>
          <w:tab w:val="num" w:pos="786"/>
        </w:tabs>
        <w:ind w:left="786"/>
        <w:jc w:val="both"/>
        <w:rPr>
          <w:bCs/>
        </w:rPr>
      </w:pPr>
      <w:r w:rsidRPr="00910D1B">
        <w:rPr>
          <w:bCs/>
        </w:rPr>
        <w:t>Инициативата за младежка заетост – 6</w:t>
      </w:r>
      <w:r>
        <w:rPr>
          <w:bCs/>
        </w:rPr>
        <w:t>,</w:t>
      </w:r>
      <w:r w:rsidRPr="00910D1B">
        <w:rPr>
          <w:bCs/>
        </w:rPr>
        <w:t>5 млн. лв.;</w:t>
      </w:r>
    </w:p>
    <w:p w14:paraId="70F83148" w14:textId="77777777" w:rsidR="000233B1" w:rsidRPr="00910D1B" w:rsidRDefault="000233B1" w:rsidP="000233B1">
      <w:pPr>
        <w:numPr>
          <w:ilvl w:val="0"/>
          <w:numId w:val="11"/>
        </w:numPr>
        <w:tabs>
          <w:tab w:val="clear" w:pos="1101"/>
          <w:tab w:val="num" w:pos="786"/>
        </w:tabs>
        <w:ind w:left="786"/>
        <w:jc w:val="both"/>
        <w:rPr>
          <w:bCs/>
        </w:rPr>
      </w:pPr>
      <w:r w:rsidRPr="00910D1B">
        <w:rPr>
          <w:bCs/>
        </w:rPr>
        <w:t>ОП „Иновации и конкурентоспособност” – 401</w:t>
      </w:r>
      <w:r>
        <w:rPr>
          <w:bCs/>
        </w:rPr>
        <w:t>,</w:t>
      </w:r>
      <w:r w:rsidRPr="00910D1B">
        <w:rPr>
          <w:bCs/>
        </w:rPr>
        <w:t>8 млн. лв. (вкл. за REACT-EU в размер на 98</w:t>
      </w:r>
      <w:r>
        <w:rPr>
          <w:bCs/>
        </w:rPr>
        <w:t>,</w:t>
      </w:r>
      <w:r w:rsidRPr="00910D1B">
        <w:rPr>
          <w:bCs/>
        </w:rPr>
        <w:t>7 млн. лева и за SAFE в размер на 61</w:t>
      </w:r>
      <w:r>
        <w:rPr>
          <w:bCs/>
        </w:rPr>
        <w:t>,</w:t>
      </w:r>
      <w:r w:rsidRPr="00910D1B">
        <w:rPr>
          <w:bCs/>
        </w:rPr>
        <w:t>2 млн. лева);</w:t>
      </w:r>
    </w:p>
    <w:p w14:paraId="7C878C31" w14:textId="77777777" w:rsidR="000233B1" w:rsidRPr="00910D1B" w:rsidRDefault="000233B1" w:rsidP="000233B1">
      <w:pPr>
        <w:numPr>
          <w:ilvl w:val="0"/>
          <w:numId w:val="11"/>
        </w:numPr>
        <w:tabs>
          <w:tab w:val="clear" w:pos="1101"/>
          <w:tab w:val="num" w:pos="786"/>
        </w:tabs>
        <w:ind w:left="786"/>
        <w:jc w:val="both"/>
        <w:rPr>
          <w:bCs/>
        </w:rPr>
      </w:pPr>
      <w:r w:rsidRPr="00910D1B">
        <w:rPr>
          <w:bCs/>
        </w:rPr>
        <w:t>ОП „Добро управление” – 66</w:t>
      </w:r>
      <w:r>
        <w:rPr>
          <w:bCs/>
        </w:rPr>
        <w:t>,</w:t>
      </w:r>
      <w:r w:rsidRPr="00910D1B">
        <w:rPr>
          <w:bCs/>
        </w:rPr>
        <w:t>1 млн. лв. (вкл. за SAFE в размер на 6</w:t>
      </w:r>
      <w:r>
        <w:rPr>
          <w:bCs/>
        </w:rPr>
        <w:t>,</w:t>
      </w:r>
      <w:r w:rsidRPr="00910D1B">
        <w:rPr>
          <w:bCs/>
        </w:rPr>
        <w:t>1 млн. лева);</w:t>
      </w:r>
    </w:p>
    <w:p w14:paraId="771A2983" w14:textId="77777777" w:rsidR="000233B1" w:rsidRPr="00910D1B" w:rsidRDefault="000233B1" w:rsidP="000233B1">
      <w:pPr>
        <w:numPr>
          <w:ilvl w:val="0"/>
          <w:numId w:val="11"/>
        </w:numPr>
        <w:tabs>
          <w:tab w:val="clear" w:pos="1101"/>
          <w:tab w:val="num" w:pos="786"/>
        </w:tabs>
        <w:ind w:left="786"/>
        <w:jc w:val="both"/>
        <w:rPr>
          <w:bCs/>
        </w:rPr>
      </w:pPr>
      <w:r w:rsidRPr="00910D1B">
        <w:rPr>
          <w:bCs/>
        </w:rPr>
        <w:t>ОП за храни и/или основно материално подпомагане от Фонда за европейско подпомагане на най-нуждаещите се лица в България за периода 2014 – 2020 г. – 2</w:t>
      </w:r>
      <w:r>
        <w:rPr>
          <w:bCs/>
        </w:rPr>
        <w:t>,</w:t>
      </w:r>
      <w:r w:rsidRPr="00910D1B">
        <w:rPr>
          <w:bCs/>
        </w:rPr>
        <w:t>9 млн. лева;</w:t>
      </w:r>
    </w:p>
    <w:p w14:paraId="41B76E37" w14:textId="77777777" w:rsidR="000233B1" w:rsidRPr="00910D1B" w:rsidRDefault="000233B1" w:rsidP="000233B1">
      <w:pPr>
        <w:numPr>
          <w:ilvl w:val="0"/>
          <w:numId w:val="11"/>
        </w:numPr>
        <w:tabs>
          <w:tab w:val="clear" w:pos="1101"/>
          <w:tab w:val="num" w:pos="786"/>
        </w:tabs>
        <w:ind w:left="786"/>
        <w:jc w:val="both"/>
        <w:rPr>
          <w:bCs/>
        </w:rPr>
      </w:pPr>
      <w:r w:rsidRPr="00910D1B">
        <w:rPr>
          <w:bCs/>
        </w:rPr>
        <w:t>ОП „Региони в растеж“ – 374</w:t>
      </w:r>
      <w:r>
        <w:rPr>
          <w:bCs/>
        </w:rPr>
        <w:t>,</w:t>
      </w:r>
      <w:r w:rsidRPr="00910D1B">
        <w:rPr>
          <w:bCs/>
        </w:rPr>
        <w:t>6 млн. лв. (вкл. за REACT-EU в размер на 3</w:t>
      </w:r>
      <w:r>
        <w:rPr>
          <w:bCs/>
        </w:rPr>
        <w:t>,</w:t>
      </w:r>
      <w:r w:rsidRPr="00910D1B">
        <w:rPr>
          <w:bCs/>
        </w:rPr>
        <w:t>2 млн. лева и за SAFE в размер на 127</w:t>
      </w:r>
      <w:r>
        <w:rPr>
          <w:bCs/>
        </w:rPr>
        <w:t>,</w:t>
      </w:r>
      <w:r w:rsidRPr="00910D1B">
        <w:rPr>
          <w:bCs/>
        </w:rPr>
        <w:t>2 млн. лева) и</w:t>
      </w:r>
    </w:p>
    <w:p w14:paraId="350C15EA" w14:textId="77777777" w:rsidR="000233B1" w:rsidRPr="00910D1B" w:rsidRDefault="000233B1" w:rsidP="000233B1">
      <w:pPr>
        <w:numPr>
          <w:ilvl w:val="0"/>
          <w:numId w:val="11"/>
        </w:numPr>
        <w:tabs>
          <w:tab w:val="clear" w:pos="1101"/>
          <w:tab w:val="num" w:pos="786"/>
        </w:tabs>
        <w:ind w:left="786"/>
        <w:jc w:val="both"/>
        <w:rPr>
          <w:bCs/>
        </w:rPr>
      </w:pPr>
      <w:r w:rsidRPr="00910D1B">
        <w:rPr>
          <w:bCs/>
        </w:rPr>
        <w:t>ОП „Наука и образование за интелигентен растеж” – 205</w:t>
      </w:r>
      <w:r>
        <w:rPr>
          <w:bCs/>
        </w:rPr>
        <w:t>,</w:t>
      </w:r>
      <w:r w:rsidRPr="00910D1B">
        <w:rPr>
          <w:bCs/>
        </w:rPr>
        <w:t>0 млн. лв. (вкл. за REACT-EU в размер на 0</w:t>
      </w:r>
      <w:r>
        <w:rPr>
          <w:bCs/>
        </w:rPr>
        <w:t>,</w:t>
      </w:r>
      <w:r w:rsidRPr="00910D1B">
        <w:rPr>
          <w:bCs/>
        </w:rPr>
        <w:t>4 млн. лева и за SAFE в размер на 33.1 млн. лева).</w:t>
      </w:r>
    </w:p>
    <w:p w14:paraId="2BB174FF" w14:textId="77777777" w:rsidR="000233B1" w:rsidRDefault="000233B1" w:rsidP="000233B1">
      <w:pPr>
        <w:spacing w:before="120"/>
        <w:ind w:firstLine="567"/>
        <w:jc w:val="both"/>
        <w:rPr>
          <w:bCs/>
          <w:color w:val="7030A0"/>
        </w:rPr>
      </w:pPr>
      <w:r>
        <w:rPr>
          <w:bCs/>
        </w:rPr>
        <w:t>Направените разходи (нето) по Оперативни програми и трансферите (нето) към бюджетни организации и операции с активи към края на годината са на стойност 3</w:t>
      </w:r>
      <w:r>
        <w:rPr>
          <w:bCs/>
          <w:lang w:val="ru-RU"/>
        </w:rPr>
        <w:t> </w:t>
      </w:r>
      <w:r>
        <w:rPr>
          <w:bCs/>
        </w:rPr>
        <w:t>203,6 млн. лв. (в тях влизат и извършените разходи по REACT-EU в размер на 257,7 млн. лева и за SAFE в размер на 853,1 млн. лева), като разпределението по Оперативни програми е следното:</w:t>
      </w:r>
    </w:p>
    <w:p w14:paraId="51E21CF3" w14:textId="77777777" w:rsidR="000233B1" w:rsidRDefault="000233B1" w:rsidP="000233B1">
      <w:pPr>
        <w:numPr>
          <w:ilvl w:val="0"/>
          <w:numId w:val="11"/>
        </w:numPr>
        <w:tabs>
          <w:tab w:val="clear" w:pos="1101"/>
          <w:tab w:val="num" w:pos="786"/>
        </w:tabs>
        <w:ind w:left="786"/>
        <w:jc w:val="both"/>
        <w:rPr>
          <w:bCs/>
        </w:rPr>
      </w:pPr>
      <w:r>
        <w:rPr>
          <w:bCs/>
        </w:rPr>
        <w:t>ОП „Развитие на човешките ресурси 2014 - 2020 г.” – 205,8 млн. лв.</w:t>
      </w:r>
      <w:r>
        <w:t xml:space="preserve"> </w:t>
      </w:r>
      <w:r>
        <w:rPr>
          <w:bCs/>
        </w:rPr>
        <w:t xml:space="preserve">(вкл. за REACT-EU в размер на </w:t>
      </w:r>
      <w:r w:rsidRPr="00910D1B">
        <w:rPr>
          <w:bCs/>
          <w:lang w:val="ru-RU"/>
        </w:rPr>
        <w:t>4</w:t>
      </w:r>
      <w:r>
        <w:rPr>
          <w:bCs/>
        </w:rPr>
        <w:t>9,1 млн. лева);</w:t>
      </w:r>
    </w:p>
    <w:p w14:paraId="6A7D6699" w14:textId="77777777" w:rsidR="000233B1" w:rsidRDefault="000233B1" w:rsidP="000233B1">
      <w:pPr>
        <w:numPr>
          <w:ilvl w:val="0"/>
          <w:numId w:val="11"/>
        </w:numPr>
        <w:tabs>
          <w:tab w:val="clear" w:pos="1101"/>
          <w:tab w:val="num" w:pos="786"/>
        </w:tabs>
        <w:ind w:left="786"/>
        <w:jc w:val="both"/>
        <w:rPr>
          <w:bCs/>
        </w:rPr>
      </w:pPr>
      <w:r>
        <w:rPr>
          <w:bCs/>
        </w:rPr>
        <w:t>Инициативата за младежка заетост –</w:t>
      </w:r>
      <w:r w:rsidRPr="002F2441">
        <w:rPr>
          <w:bCs/>
          <w:lang w:val="ru-RU"/>
        </w:rPr>
        <w:t xml:space="preserve"> </w:t>
      </w:r>
      <w:r>
        <w:rPr>
          <w:bCs/>
        </w:rPr>
        <w:t>15,</w:t>
      </w:r>
      <w:r w:rsidRPr="002F2441">
        <w:rPr>
          <w:bCs/>
          <w:lang w:val="ru-RU"/>
        </w:rPr>
        <w:t>0</w:t>
      </w:r>
      <w:r>
        <w:rPr>
          <w:bCs/>
        </w:rPr>
        <w:t xml:space="preserve"> млн. лв.;</w:t>
      </w:r>
    </w:p>
    <w:p w14:paraId="67D5F0FE" w14:textId="77777777" w:rsidR="000233B1" w:rsidRDefault="000233B1" w:rsidP="000233B1">
      <w:pPr>
        <w:numPr>
          <w:ilvl w:val="0"/>
          <w:numId w:val="11"/>
        </w:numPr>
        <w:tabs>
          <w:tab w:val="clear" w:pos="1101"/>
          <w:tab w:val="num" w:pos="786"/>
        </w:tabs>
        <w:ind w:left="786"/>
        <w:jc w:val="both"/>
        <w:rPr>
          <w:bCs/>
        </w:rPr>
      </w:pPr>
      <w:r>
        <w:rPr>
          <w:bCs/>
        </w:rPr>
        <w:t xml:space="preserve">ОП за храни и/или основно материално подпомагане от Фонда за европейско подпомагане на най-нуждаещите се лица в България за периода 2014 – 2020 г. – 4,3 млн. лв. </w:t>
      </w:r>
      <w:r w:rsidRPr="00910D1B">
        <w:rPr>
          <w:bCs/>
          <w:lang w:val="ru-RU"/>
        </w:rPr>
        <w:t>(</w:t>
      </w:r>
      <w:r>
        <w:rPr>
          <w:bCs/>
        </w:rPr>
        <w:t xml:space="preserve">само от </w:t>
      </w:r>
      <w:r>
        <w:rPr>
          <w:bCs/>
          <w:lang w:val="en-US"/>
        </w:rPr>
        <w:t>REACT</w:t>
      </w:r>
      <w:r w:rsidRPr="00910D1B">
        <w:rPr>
          <w:bCs/>
          <w:lang w:val="ru-RU"/>
        </w:rPr>
        <w:t>-</w:t>
      </w:r>
      <w:r>
        <w:rPr>
          <w:bCs/>
          <w:lang w:val="en-US"/>
        </w:rPr>
        <w:t>EU</w:t>
      </w:r>
      <w:r w:rsidRPr="00910D1B">
        <w:rPr>
          <w:bCs/>
          <w:lang w:val="ru-RU"/>
        </w:rPr>
        <w:t>)</w:t>
      </w:r>
      <w:r>
        <w:rPr>
          <w:bCs/>
        </w:rPr>
        <w:t>;</w:t>
      </w:r>
    </w:p>
    <w:p w14:paraId="158B3251" w14:textId="77777777" w:rsidR="000233B1" w:rsidRDefault="000233B1" w:rsidP="000233B1">
      <w:pPr>
        <w:numPr>
          <w:ilvl w:val="0"/>
          <w:numId w:val="11"/>
        </w:numPr>
        <w:tabs>
          <w:tab w:val="clear" w:pos="1101"/>
          <w:tab w:val="num" w:pos="786"/>
        </w:tabs>
        <w:ind w:left="786"/>
        <w:jc w:val="both"/>
        <w:rPr>
          <w:bCs/>
        </w:rPr>
      </w:pPr>
      <w:r>
        <w:rPr>
          <w:bCs/>
        </w:rPr>
        <w:t>ОП „Иновации и конкурентоспособност” – 380,6 млн. лв. (вкл. за REACT-EU в размер на 139,6 млн. лева и за SAFE в размер на 98,3 млн. лева);</w:t>
      </w:r>
    </w:p>
    <w:p w14:paraId="18161270" w14:textId="77777777" w:rsidR="000233B1" w:rsidRDefault="000233B1" w:rsidP="000233B1">
      <w:pPr>
        <w:numPr>
          <w:ilvl w:val="0"/>
          <w:numId w:val="11"/>
        </w:numPr>
        <w:tabs>
          <w:tab w:val="clear" w:pos="1101"/>
          <w:tab w:val="num" w:pos="786"/>
        </w:tabs>
        <w:ind w:left="786"/>
        <w:jc w:val="both"/>
        <w:rPr>
          <w:bCs/>
        </w:rPr>
      </w:pPr>
      <w:r>
        <w:rPr>
          <w:bCs/>
        </w:rPr>
        <w:t>ОП „Добро управление” – 88,6 млн. лв.</w:t>
      </w:r>
      <w:r>
        <w:t xml:space="preserve"> </w:t>
      </w:r>
      <w:r>
        <w:rPr>
          <w:bCs/>
        </w:rPr>
        <w:t xml:space="preserve"> (вкл. за SAFE в размер на 6,8 млн. лева);</w:t>
      </w:r>
    </w:p>
    <w:p w14:paraId="21CE1154" w14:textId="77777777" w:rsidR="000233B1" w:rsidRDefault="000233B1" w:rsidP="000233B1">
      <w:pPr>
        <w:numPr>
          <w:ilvl w:val="0"/>
          <w:numId w:val="11"/>
        </w:numPr>
        <w:tabs>
          <w:tab w:val="clear" w:pos="1101"/>
          <w:tab w:val="num" w:pos="786"/>
        </w:tabs>
        <w:ind w:left="786"/>
        <w:jc w:val="both"/>
        <w:rPr>
          <w:bCs/>
          <w:color w:val="7030A0"/>
        </w:rPr>
      </w:pPr>
      <w:r>
        <w:rPr>
          <w:bCs/>
        </w:rPr>
        <w:t>ОП „Региони в растеж“ – 653,0 млн. лв.</w:t>
      </w:r>
      <w:r w:rsidRPr="002F2441">
        <w:rPr>
          <w:bCs/>
          <w:lang w:val="ru-RU"/>
        </w:rPr>
        <w:t xml:space="preserve"> </w:t>
      </w:r>
      <w:r>
        <w:rPr>
          <w:bCs/>
        </w:rPr>
        <w:t>(вкл. за REACT-EU в размер на 44,1 млн. лева и за SAFE в размер на 141,3 млн. лева);</w:t>
      </w:r>
    </w:p>
    <w:p w14:paraId="797B97A8" w14:textId="77777777" w:rsidR="000233B1" w:rsidRDefault="000233B1" w:rsidP="000233B1">
      <w:pPr>
        <w:numPr>
          <w:ilvl w:val="0"/>
          <w:numId w:val="11"/>
        </w:numPr>
        <w:tabs>
          <w:tab w:val="clear" w:pos="1101"/>
          <w:tab w:val="num" w:pos="786"/>
        </w:tabs>
        <w:ind w:left="786"/>
        <w:jc w:val="both"/>
        <w:rPr>
          <w:bCs/>
          <w:color w:val="7030A0"/>
        </w:rPr>
      </w:pPr>
      <w:r>
        <w:rPr>
          <w:bCs/>
        </w:rPr>
        <w:t>ОП „Транспорт и транспортна инфраструктура” – 860,6 млн. лв. (вкл. за SAFE в размер на 278,7 млн. лева);</w:t>
      </w:r>
    </w:p>
    <w:p w14:paraId="15760790" w14:textId="77777777" w:rsidR="000233B1" w:rsidRDefault="000233B1" w:rsidP="000233B1">
      <w:pPr>
        <w:numPr>
          <w:ilvl w:val="0"/>
          <w:numId w:val="11"/>
        </w:numPr>
        <w:tabs>
          <w:tab w:val="clear" w:pos="1101"/>
          <w:tab w:val="num" w:pos="786"/>
        </w:tabs>
        <w:ind w:left="786"/>
        <w:jc w:val="both"/>
        <w:rPr>
          <w:bCs/>
        </w:rPr>
      </w:pPr>
      <w:r>
        <w:rPr>
          <w:bCs/>
        </w:rPr>
        <w:t>ОП „Наука и образование за интелигентен растеж” – 243,4 млн. лв. (вкл. за REACT-EU в размер на 20,6 млн. лева и за SAFE в размер на 44,7 млн. лева) и</w:t>
      </w:r>
    </w:p>
    <w:p w14:paraId="6C0CD8C8" w14:textId="69C53421" w:rsidR="000233B1" w:rsidRDefault="000233B1" w:rsidP="000233B1">
      <w:pPr>
        <w:numPr>
          <w:ilvl w:val="0"/>
          <w:numId w:val="11"/>
        </w:numPr>
        <w:tabs>
          <w:tab w:val="clear" w:pos="1101"/>
          <w:tab w:val="num" w:pos="786"/>
        </w:tabs>
        <w:ind w:left="786"/>
        <w:jc w:val="both"/>
        <w:rPr>
          <w:bCs/>
        </w:rPr>
      </w:pPr>
      <w:r>
        <w:rPr>
          <w:bCs/>
        </w:rPr>
        <w:t>ОП „Околна среда 2014 – 2020 г.“ – 752,4 млн. лв. (вкл. за SAFE в размер на 283,4</w:t>
      </w:r>
      <w:r w:rsidR="003C10B0">
        <w:rPr>
          <w:bCs/>
        </w:rPr>
        <w:t> </w:t>
      </w:r>
      <w:r>
        <w:rPr>
          <w:bCs/>
        </w:rPr>
        <w:t>млн. лева).</w:t>
      </w:r>
    </w:p>
    <w:p w14:paraId="43E556B5" w14:textId="77777777" w:rsidR="000233B1" w:rsidRDefault="000233B1" w:rsidP="000233B1">
      <w:pPr>
        <w:spacing w:before="120"/>
        <w:ind w:firstLine="567"/>
        <w:jc w:val="both"/>
        <w:rPr>
          <w:bCs/>
        </w:rPr>
      </w:pPr>
      <w:r>
        <w:t>Предоставеното авансово финансиране по реда на ДДС 6/ 2011 г. към бюджетни организации за периода е на стойност 520,3 млн. лева, а възстановените средства – 128,9 млн. лева.</w:t>
      </w:r>
    </w:p>
    <w:p w14:paraId="503C46E1" w14:textId="77777777" w:rsidR="000233B1" w:rsidRDefault="000233B1" w:rsidP="000233B1">
      <w:pPr>
        <w:jc w:val="both"/>
        <w:rPr>
          <w:bCs/>
        </w:rPr>
      </w:pPr>
      <w:r>
        <w:rPr>
          <w:bCs/>
        </w:rPr>
        <w:t>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333,0 млн. лева.</w:t>
      </w:r>
    </w:p>
    <w:p w14:paraId="3377F982" w14:textId="77777777" w:rsidR="000233B1" w:rsidRDefault="000233B1" w:rsidP="000233B1">
      <w:pPr>
        <w:spacing w:before="120"/>
        <w:ind w:firstLine="686"/>
        <w:jc w:val="both"/>
        <w:rPr>
          <w:b/>
          <w:bCs/>
        </w:rPr>
      </w:pPr>
      <w:r>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14:paraId="1CABCCEA" w14:textId="77777777" w:rsidR="000233B1" w:rsidRDefault="000233B1" w:rsidP="000233B1">
      <w:pPr>
        <w:ind w:firstLine="567"/>
        <w:jc w:val="both"/>
        <w:rPr>
          <w:bCs/>
        </w:rPr>
      </w:pPr>
      <w:r>
        <w:rPr>
          <w:bCs/>
        </w:rPr>
        <w:t>Получените средства (предварително годишно финансиране за 2023 г., както и предварително финансиране за 2023 г. във връзка с FAST CARE, както и възстановени разходи) от ЕК за периода са в размер на 653,5 млн. лв. и са разпределени както следва:</w:t>
      </w:r>
    </w:p>
    <w:p w14:paraId="05E0FAF0" w14:textId="77777777" w:rsidR="000233B1" w:rsidRDefault="000233B1" w:rsidP="000233B1">
      <w:pPr>
        <w:numPr>
          <w:ilvl w:val="0"/>
          <w:numId w:val="11"/>
        </w:numPr>
        <w:tabs>
          <w:tab w:val="clear" w:pos="1101"/>
          <w:tab w:val="num" w:pos="786"/>
        </w:tabs>
        <w:ind w:left="786"/>
        <w:jc w:val="both"/>
        <w:rPr>
          <w:bCs/>
        </w:rPr>
      </w:pPr>
      <w:r>
        <w:rPr>
          <w:bCs/>
        </w:rPr>
        <w:t xml:space="preserve">Програма „Развитие на човешките ресурси” 2021-2027 г. – 51,0 млн. лв.;  </w:t>
      </w:r>
    </w:p>
    <w:p w14:paraId="23077912" w14:textId="77777777" w:rsidR="000233B1" w:rsidRDefault="000233B1" w:rsidP="000233B1">
      <w:pPr>
        <w:numPr>
          <w:ilvl w:val="0"/>
          <w:numId w:val="11"/>
        </w:numPr>
        <w:tabs>
          <w:tab w:val="clear" w:pos="1101"/>
          <w:tab w:val="num" w:pos="786"/>
        </w:tabs>
        <w:ind w:left="786"/>
        <w:jc w:val="both"/>
        <w:rPr>
          <w:bCs/>
        </w:rPr>
      </w:pPr>
      <w:r>
        <w:rPr>
          <w:bCs/>
        </w:rPr>
        <w:t>Програма „Храни и основно материално подпомагане” 2021-2027 г. – 27,6 млн. лв.;</w:t>
      </w:r>
    </w:p>
    <w:p w14:paraId="70BC5DA2" w14:textId="77777777" w:rsidR="000233B1" w:rsidRDefault="000233B1" w:rsidP="000233B1">
      <w:pPr>
        <w:numPr>
          <w:ilvl w:val="0"/>
          <w:numId w:val="11"/>
        </w:numPr>
        <w:tabs>
          <w:tab w:val="clear" w:pos="1101"/>
          <w:tab w:val="num" w:pos="786"/>
        </w:tabs>
        <w:ind w:left="786"/>
        <w:jc w:val="both"/>
        <w:rPr>
          <w:bCs/>
        </w:rPr>
      </w:pPr>
      <w:r>
        <w:rPr>
          <w:bCs/>
        </w:rPr>
        <w:t>Програма „Образование” 2021-2027 г. – 15,4 млн. лв.;</w:t>
      </w:r>
    </w:p>
    <w:p w14:paraId="0561159A" w14:textId="77777777" w:rsidR="000233B1" w:rsidRDefault="000233B1" w:rsidP="000233B1">
      <w:pPr>
        <w:numPr>
          <w:ilvl w:val="0"/>
          <w:numId w:val="11"/>
        </w:numPr>
        <w:tabs>
          <w:tab w:val="clear" w:pos="1101"/>
          <w:tab w:val="num" w:pos="786"/>
        </w:tabs>
        <w:ind w:left="786"/>
        <w:jc w:val="both"/>
        <w:rPr>
          <w:bCs/>
        </w:rPr>
      </w:pPr>
      <w:r>
        <w:rPr>
          <w:bCs/>
        </w:rPr>
        <w:t>Програма „Околна среда“ 2021 2027 г. – 29,9 млн. лв.;</w:t>
      </w:r>
    </w:p>
    <w:p w14:paraId="78867142" w14:textId="77777777" w:rsidR="000233B1" w:rsidRDefault="000233B1" w:rsidP="000233B1">
      <w:pPr>
        <w:numPr>
          <w:ilvl w:val="0"/>
          <w:numId w:val="11"/>
        </w:numPr>
        <w:tabs>
          <w:tab w:val="clear" w:pos="1101"/>
          <w:tab w:val="num" w:pos="786"/>
        </w:tabs>
        <w:ind w:left="786"/>
        <w:jc w:val="both"/>
        <w:rPr>
          <w:bCs/>
        </w:rPr>
      </w:pPr>
      <w:r>
        <w:rPr>
          <w:bCs/>
        </w:rPr>
        <w:t>Програма „Техническа помощ“ 2021 2027 г. – 2,0 млн. лв.;</w:t>
      </w:r>
    </w:p>
    <w:p w14:paraId="58B3F9A5" w14:textId="69D20AD1" w:rsidR="000233B1" w:rsidRDefault="000233B1" w:rsidP="000233B1">
      <w:pPr>
        <w:numPr>
          <w:ilvl w:val="0"/>
          <w:numId w:val="11"/>
        </w:numPr>
        <w:tabs>
          <w:tab w:val="clear" w:pos="1101"/>
          <w:tab w:val="num" w:pos="786"/>
        </w:tabs>
        <w:ind w:left="786"/>
        <w:jc w:val="both"/>
        <w:rPr>
          <w:bCs/>
        </w:rPr>
      </w:pPr>
      <w:r>
        <w:rPr>
          <w:bCs/>
        </w:rPr>
        <w:t>Програма „Конкурентоспособност и иновации в предприятията“ 2021 2027 г. – 314,1</w:t>
      </w:r>
      <w:r w:rsidR="00EF4BC5">
        <w:rPr>
          <w:bCs/>
        </w:rPr>
        <w:t> </w:t>
      </w:r>
      <w:r>
        <w:rPr>
          <w:bCs/>
        </w:rPr>
        <w:t>млн. лв.;</w:t>
      </w:r>
    </w:p>
    <w:p w14:paraId="0B7D14C6" w14:textId="77777777" w:rsidR="000233B1" w:rsidRDefault="000233B1" w:rsidP="000233B1">
      <w:pPr>
        <w:numPr>
          <w:ilvl w:val="0"/>
          <w:numId w:val="11"/>
        </w:numPr>
        <w:tabs>
          <w:tab w:val="clear" w:pos="1101"/>
          <w:tab w:val="num" w:pos="786"/>
        </w:tabs>
        <w:ind w:left="786"/>
        <w:jc w:val="both"/>
        <w:rPr>
          <w:bCs/>
        </w:rPr>
      </w:pPr>
      <w:r>
        <w:rPr>
          <w:bCs/>
        </w:rPr>
        <w:t>Програма „Развитие на регионите“ 2021 2027 г. – 138,4 млн. лв.;</w:t>
      </w:r>
    </w:p>
    <w:p w14:paraId="58929DA3" w14:textId="77777777" w:rsidR="000233B1" w:rsidRDefault="000233B1" w:rsidP="000233B1">
      <w:pPr>
        <w:numPr>
          <w:ilvl w:val="0"/>
          <w:numId w:val="11"/>
        </w:numPr>
        <w:tabs>
          <w:tab w:val="clear" w:pos="1101"/>
          <w:tab w:val="num" w:pos="786"/>
        </w:tabs>
        <w:ind w:left="786"/>
        <w:jc w:val="both"/>
        <w:rPr>
          <w:bCs/>
        </w:rPr>
      </w:pPr>
      <w:r>
        <w:rPr>
          <w:bCs/>
        </w:rPr>
        <w:t>Програма „Научни изследвания, иновации и дигитализация за интелигентна трансформация“ 2021 2027 г. – 43,5 млн. лв.;</w:t>
      </w:r>
    </w:p>
    <w:p w14:paraId="0BB6486A" w14:textId="77777777" w:rsidR="000233B1" w:rsidRDefault="000233B1" w:rsidP="000233B1">
      <w:pPr>
        <w:numPr>
          <w:ilvl w:val="0"/>
          <w:numId w:val="11"/>
        </w:numPr>
        <w:tabs>
          <w:tab w:val="clear" w:pos="1101"/>
          <w:tab w:val="num" w:pos="786"/>
        </w:tabs>
        <w:ind w:left="786"/>
        <w:jc w:val="both"/>
        <w:rPr>
          <w:bCs/>
        </w:rPr>
      </w:pPr>
      <w:r>
        <w:rPr>
          <w:bCs/>
        </w:rPr>
        <w:t>Програма „Транспортна свързаност“ 2021 2027 г. – 31,6 млн. лв.</w:t>
      </w:r>
    </w:p>
    <w:p w14:paraId="6B04C7F2" w14:textId="77777777" w:rsidR="000233B1" w:rsidRDefault="000233B1" w:rsidP="000233B1">
      <w:pPr>
        <w:jc w:val="both"/>
        <w:rPr>
          <w:bCs/>
          <w:color w:val="7030A0"/>
        </w:rPr>
      </w:pPr>
    </w:p>
    <w:p w14:paraId="31778D05" w14:textId="77777777" w:rsidR="000233B1" w:rsidRDefault="000233B1" w:rsidP="000233B1">
      <w:pPr>
        <w:ind w:firstLine="567"/>
        <w:jc w:val="both"/>
        <w:rPr>
          <w:bCs/>
        </w:rPr>
      </w:pPr>
      <w:r>
        <w:rPr>
          <w:bCs/>
        </w:rPr>
        <w:t>Направените разходи за периода са в размер на 754,4 млн. лв. и са разпределени както следва:</w:t>
      </w:r>
    </w:p>
    <w:p w14:paraId="5269C744" w14:textId="77777777" w:rsidR="000233B1" w:rsidRDefault="000233B1" w:rsidP="000233B1">
      <w:pPr>
        <w:numPr>
          <w:ilvl w:val="0"/>
          <w:numId w:val="11"/>
        </w:numPr>
        <w:tabs>
          <w:tab w:val="clear" w:pos="1101"/>
          <w:tab w:val="num" w:pos="786"/>
        </w:tabs>
        <w:ind w:left="786"/>
        <w:jc w:val="both"/>
        <w:rPr>
          <w:bCs/>
        </w:rPr>
      </w:pPr>
      <w:r>
        <w:rPr>
          <w:bCs/>
        </w:rPr>
        <w:t xml:space="preserve">Програма „Развитие на човешките ресурси” 2021-2027 г. – 108,7 млн. лв.;  </w:t>
      </w:r>
    </w:p>
    <w:p w14:paraId="3F0E5C5C" w14:textId="77777777" w:rsidR="000233B1" w:rsidRDefault="000233B1" w:rsidP="000233B1">
      <w:pPr>
        <w:numPr>
          <w:ilvl w:val="0"/>
          <w:numId w:val="11"/>
        </w:numPr>
        <w:tabs>
          <w:tab w:val="clear" w:pos="1101"/>
          <w:tab w:val="num" w:pos="786"/>
        </w:tabs>
        <w:ind w:left="786"/>
        <w:jc w:val="both"/>
        <w:rPr>
          <w:bCs/>
        </w:rPr>
      </w:pPr>
      <w:r>
        <w:rPr>
          <w:bCs/>
        </w:rPr>
        <w:t>Програма „Храни и основно материално подпомагане” 2021-2027 г. – 72,6 млн. лв.;</w:t>
      </w:r>
    </w:p>
    <w:p w14:paraId="24FA1B67" w14:textId="77777777" w:rsidR="000233B1" w:rsidRDefault="000233B1" w:rsidP="000233B1">
      <w:pPr>
        <w:numPr>
          <w:ilvl w:val="0"/>
          <w:numId w:val="11"/>
        </w:numPr>
        <w:tabs>
          <w:tab w:val="clear" w:pos="1101"/>
          <w:tab w:val="num" w:pos="786"/>
        </w:tabs>
        <w:ind w:left="786"/>
        <w:jc w:val="both"/>
        <w:rPr>
          <w:bCs/>
        </w:rPr>
      </w:pPr>
      <w:r>
        <w:rPr>
          <w:bCs/>
        </w:rPr>
        <w:t>Програма „Образование” 2021-2027 г. – 1,9 млн. лв.;</w:t>
      </w:r>
    </w:p>
    <w:p w14:paraId="29F9FA10" w14:textId="0E49A019" w:rsidR="000233B1" w:rsidRDefault="000233B1" w:rsidP="000233B1">
      <w:pPr>
        <w:numPr>
          <w:ilvl w:val="0"/>
          <w:numId w:val="11"/>
        </w:numPr>
        <w:tabs>
          <w:tab w:val="clear" w:pos="1101"/>
          <w:tab w:val="num" w:pos="786"/>
        </w:tabs>
        <w:ind w:left="786"/>
        <w:jc w:val="both"/>
        <w:rPr>
          <w:bCs/>
        </w:rPr>
      </w:pPr>
      <w:r>
        <w:rPr>
          <w:bCs/>
        </w:rPr>
        <w:t>Програма „Конкурентоспособност и иновации в предприятията“ 2021 2027 г. – 39</w:t>
      </w:r>
      <w:r w:rsidRPr="002F2441">
        <w:rPr>
          <w:bCs/>
          <w:lang w:val="ru-RU"/>
        </w:rPr>
        <w:t>7</w:t>
      </w:r>
      <w:r>
        <w:rPr>
          <w:bCs/>
          <w:lang w:val="ru-RU"/>
        </w:rPr>
        <w:t>,</w:t>
      </w:r>
      <w:r w:rsidRPr="002F2441">
        <w:rPr>
          <w:bCs/>
          <w:lang w:val="ru-RU"/>
        </w:rPr>
        <w:t>3</w:t>
      </w:r>
      <w:r w:rsidR="00EF4BC5">
        <w:rPr>
          <w:bCs/>
        </w:rPr>
        <w:t> </w:t>
      </w:r>
      <w:r>
        <w:rPr>
          <w:bCs/>
        </w:rPr>
        <w:t>млн. лв.;</w:t>
      </w:r>
    </w:p>
    <w:p w14:paraId="75FB01C4" w14:textId="77777777" w:rsidR="000233B1" w:rsidRDefault="000233B1" w:rsidP="000233B1">
      <w:pPr>
        <w:numPr>
          <w:ilvl w:val="0"/>
          <w:numId w:val="11"/>
        </w:numPr>
        <w:tabs>
          <w:tab w:val="clear" w:pos="1101"/>
          <w:tab w:val="num" w:pos="786"/>
        </w:tabs>
        <w:ind w:left="786"/>
        <w:jc w:val="both"/>
        <w:rPr>
          <w:bCs/>
        </w:rPr>
      </w:pPr>
      <w:r>
        <w:rPr>
          <w:bCs/>
        </w:rPr>
        <w:t>Програма „Развитие на регионите“ 2021 2027 г. – 138,7 млн. лв. и</w:t>
      </w:r>
    </w:p>
    <w:p w14:paraId="397FA0C2" w14:textId="77777777" w:rsidR="000233B1" w:rsidRDefault="000233B1" w:rsidP="000233B1">
      <w:pPr>
        <w:numPr>
          <w:ilvl w:val="0"/>
          <w:numId w:val="11"/>
        </w:numPr>
        <w:tabs>
          <w:tab w:val="clear" w:pos="1101"/>
          <w:tab w:val="num" w:pos="786"/>
        </w:tabs>
        <w:ind w:left="786"/>
        <w:jc w:val="both"/>
        <w:rPr>
          <w:bCs/>
        </w:rPr>
      </w:pPr>
      <w:r>
        <w:rPr>
          <w:bCs/>
        </w:rPr>
        <w:t>Програма „Научни изследвания, иновации и дигитализация за интелигентна трансформация“ 2021 2027 г. – 35,2 млн. лева.</w:t>
      </w:r>
    </w:p>
    <w:p w14:paraId="70470352" w14:textId="77777777" w:rsidR="000233B1" w:rsidRDefault="000233B1" w:rsidP="000233B1">
      <w:pPr>
        <w:spacing w:before="120"/>
        <w:ind w:firstLine="686"/>
        <w:jc w:val="both"/>
        <w:rPr>
          <w:b/>
          <w:bCs/>
        </w:rPr>
      </w:pPr>
      <w:r>
        <w:rPr>
          <w:b/>
          <w:bCs/>
        </w:rPr>
        <w:t>Национален план за възстановяване и устойчивост (НПВУ)</w:t>
      </w:r>
    </w:p>
    <w:p w14:paraId="6F57609D" w14:textId="77777777" w:rsidR="000233B1" w:rsidRDefault="000233B1" w:rsidP="000233B1">
      <w:pPr>
        <w:spacing w:before="120"/>
        <w:ind w:firstLine="567"/>
        <w:jc w:val="both"/>
        <w:rPr>
          <w:bCs/>
        </w:rPr>
      </w:pPr>
      <w:r>
        <w:rPr>
          <w:bCs/>
        </w:rPr>
        <w:t>През отчетния период чрез НПВУ бяха извършени разходи и трансфери (нето)</w:t>
      </w:r>
      <w:r w:rsidRPr="002F2441">
        <w:rPr>
          <w:bCs/>
          <w:lang w:val="ru-RU"/>
        </w:rPr>
        <w:t xml:space="preserve"> </w:t>
      </w:r>
      <w:r>
        <w:rPr>
          <w:bCs/>
        </w:rPr>
        <w:t>в размер на 337,0 млн. лева.</w:t>
      </w:r>
    </w:p>
    <w:p w14:paraId="062262BF" w14:textId="77777777" w:rsidR="000233B1" w:rsidRDefault="000233B1" w:rsidP="000233B1">
      <w:pPr>
        <w:spacing w:before="120"/>
        <w:ind w:firstLine="686"/>
        <w:jc w:val="both"/>
        <w:rPr>
          <w:b/>
          <w:bCs/>
        </w:rPr>
      </w:pPr>
      <w:r>
        <w:rPr>
          <w:b/>
          <w:bCs/>
        </w:rPr>
        <w:t xml:space="preserve">Програма ФАР </w:t>
      </w:r>
    </w:p>
    <w:p w14:paraId="7032E8AA" w14:textId="77777777" w:rsidR="000233B1" w:rsidRDefault="000233B1" w:rsidP="000233B1">
      <w:pPr>
        <w:ind w:firstLine="686"/>
        <w:jc w:val="both"/>
        <w:rPr>
          <w:bCs/>
        </w:rPr>
      </w:pPr>
      <w:r>
        <w:rPr>
          <w:bCs/>
        </w:rPr>
        <w:t xml:space="preserve">През отчетния период са възстановени суми от бенефициенти на стойност 0,03 млн. лева. </w:t>
      </w:r>
    </w:p>
    <w:p w14:paraId="6C14B332" w14:textId="77777777" w:rsidR="000233B1" w:rsidRDefault="000233B1" w:rsidP="000233B1">
      <w:pPr>
        <w:spacing w:before="120"/>
        <w:ind w:firstLine="686"/>
        <w:jc w:val="both"/>
        <w:rPr>
          <w:b/>
          <w:bCs/>
        </w:rPr>
      </w:pPr>
      <w:r>
        <w:rPr>
          <w:b/>
          <w:bCs/>
        </w:rPr>
        <w:t xml:space="preserve">Програма САПАРД </w:t>
      </w:r>
    </w:p>
    <w:p w14:paraId="712B85AA" w14:textId="0144E415" w:rsidR="000233B1" w:rsidRDefault="000233B1" w:rsidP="000233B1">
      <w:pPr>
        <w:ind w:firstLine="567"/>
        <w:jc w:val="both"/>
        <w:rPr>
          <w:bCs/>
        </w:rPr>
      </w:pPr>
      <w:r>
        <w:rPr>
          <w:bCs/>
        </w:rPr>
        <w:t>През периода са извършени възстановявания от бенефициенти по дългове на стойност 0,2</w:t>
      </w:r>
      <w:r w:rsidR="006A59AC">
        <w:rPr>
          <w:bCs/>
        </w:rPr>
        <w:t> </w:t>
      </w:r>
      <w:r>
        <w:rPr>
          <w:bCs/>
        </w:rPr>
        <w:t>млн. лева.</w:t>
      </w:r>
    </w:p>
    <w:p w14:paraId="2DB3B861" w14:textId="77777777" w:rsidR="000233B1" w:rsidRDefault="000233B1" w:rsidP="000233B1">
      <w:pPr>
        <w:spacing w:before="120"/>
        <w:ind w:firstLine="686"/>
        <w:jc w:val="both"/>
        <w:rPr>
          <w:b/>
          <w:bCs/>
        </w:rPr>
      </w:pPr>
      <w:r>
        <w:rPr>
          <w:bCs/>
          <w:color w:val="7030A0"/>
        </w:rPr>
        <w:tab/>
      </w:r>
      <w:r>
        <w:rPr>
          <w:b/>
          <w:bCs/>
        </w:rPr>
        <w:t>Двустранни програми за трансгранично сътрудничество по външните граници на Европейския съюз 2007 – 2013 г., 2014 – 2020 г. и 2021 – 2027 г.</w:t>
      </w:r>
    </w:p>
    <w:p w14:paraId="62B5312F" w14:textId="77777777" w:rsidR="000233B1" w:rsidRDefault="000233B1" w:rsidP="000233B1">
      <w:pPr>
        <w:ind w:firstLine="567"/>
        <w:jc w:val="both"/>
        <w:rPr>
          <w:bCs/>
        </w:rPr>
      </w:pPr>
      <w:r>
        <w:rPr>
          <w:bCs/>
        </w:rPr>
        <w:t>Получените средства към 31.12.2023 г. са на стойност 23,0 млн. лв., представляващи възстановени разходи от ЕК по ПП 2014-2020 г.,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 и втори транш за предварително финансиране по ПП 2021-2027 г.</w:t>
      </w:r>
    </w:p>
    <w:p w14:paraId="5C2CD102" w14:textId="77777777" w:rsidR="000233B1" w:rsidRDefault="000233B1" w:rsidP="000233B1">
      <w:pPr>
        <w:jc w:val="both"/>
        <w:rPr>
          <w:b/>
          <w:bCs/>
        </w:rPr>
      </w:pPr>
      <w:r>
        <w:rPr>
          <w:bCs/>
        </w:rPr>
        <w:t xml:space="preserve">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14,2 млн. лв., включително за плащания към бенефициенти в страната, извършени за сметка на полученото финансиране от страната-партньор по тези програми. </w:t>
      </w:r>
    </w:p>
    <w:p w14:paraId="3E5B1A03" w14:textId="77777777" w:rsidR="000233B1" w:rsidRDefault="000233B1" w:rsidP="000233B1">
      <w:pPr>
        <w:spacing w:before="120"/>
        <w:ind w:firstLine="567"/>
        <w:jc w:val="both"/>
        <w:rPr>
          <w:b/>
          <w:bCs/>
        </w:rPr>
      </w:pPr>
      <w:r>
        <w:rPr>
          <w:b/>
          <w:bCs/>
        </w:rPr>
        <w:t>Финансов механизъм на Европейското икономическо пространство и Норвежки финансов механизъм за периода 2009-2014 г. и 2014-2021 г.</w:t>
      </w:r>
    </w:p>
    <w:p w14:paraId="4801A83A" w14:textId="77777777" w:rsidR="000233B1" w:rsidRDefault="000233B1" w:rsidP="000233B1">
      <w:pPr>
        <w:spacing w:before="120"/>
        <w:ind w:firstLine="567"/>
        <w:jc w:val="both"/>
        <w:rPr>
          <w:b/>
          <w:bCs/>
        </w:rPr>
      </w:pPr>
      <w:r>
        <w:rPr>
          <w:bCs/>
        </w:rPr>
        <w:t>Получените средства към 31.12.2023 г. са на стойност 84,0 млн. лева.</w:t>
      </w:r>
    </w:p>
    <w:p w14:paraId="029F8953" w14:textId="77777777" w:rsidR="000233B1" w:rsidRPr="002F2441" w:rsidRDefault="000233B1" w:rsidP="000233B1">
      <w:pPr>
        <w:tabs>
          <w:tab w:val="center" w:pos="4153"/>
          <w:tab w:val="left" w:pos="5387"/>
          <w:tab w:val="right" w:pos="8306"/>
        </w:tabs>
        <w:ind w:firstLine="567"/>
        <w:jc w:val="both"/>
        <w:rPr>
          <w:lang w:val="ru-RU"/>
        </w:rPr>
      </w:pPr>
      <w:r>
        <w:rPr>
          <w:bCs/>
        </w:rPr>
        <w:t>Сумата на разходите и трансферите (нето) за периода са на обща стойност 96,3 млн. лева.</w:t>
      </w:r>
    </w:p>
    <w:p w14:paraId="6F15B81E" w14:textId="77777777" w:rsidR="00936CD8" w:rsidRPr="00A04602" w:rsidRDefault="00936CD8" w:rsidP="00936CD8">
      <w:pPr>
        <w:pStyle w:val="Heading1"/>
        <w:numPr>
          <w:ilvl w:val="0"/>
          <w:numId w:val="9"/>
        </w:numPr>
        <w:spacing w:before="360"/>
        <w:ind w:left="533" w:right="-108" w:hanging="391"/>
        <w:jc w:val="both"/>
        <w:rPr>
          <w:sz w:val="24"/>
        </w:rPr>
      </w:pPr>
      <w:r w:rsidRPr="00A04602">
        <w:rPr>
          <w:sz w:val="24"/>
        </w:rPr>
        <w:t>Бюджети на социално и здравно-осигурителните фондове и бюджети по чл. 13, ал. 2 и ал. 3 на Закона за публичните финанси</w:t>
      </w:r>
    </w:p>
    <w:p w14:paraId="2F4549EA" w14:textId="77777777" w:rsidR="00936CD8" w:rsidRPr="00A04602" w:rsidRDefault="00936CD8" w:rsidP="00751212">
      <w:pPr>
        <w:pStyle w:val="Heading1"/>
        <w:numPr>
          <w:ilvl w:val="1"/>
          <w:numId w:val="9"/>
        </w:numPr>
        <w:spacing w:before="240"/>
        <w:ind w:left="788" w:right="-108" w:hanging="431"/>
        <w:jc w:val="both"/>
        <w:rPr>
          <w:sz w:val="24"/>
          <w:lang w:val="en-US"/>
        </w:rPr>
      </w:pPr>
      <w:r w:rsidRPr="00A04602">
        <w:rPr>
          <w:sz w:val="24"/>
        </w:rPr>
        <w:t>Социално и здравно-осигурителни фондове</w:t>
      </w:r>
    </w:p>
    <w:p w14:paraId="103168F5" w14:textId="77777777" w:rsidR="00DD564B" w:rsidRPr="00A04602" w:rsidRDefault="00DD564B" w:rsidP="00DD564B">
      <w:pPr>
        <w:numPr>
          <w:ilvl w:val="1"/>
          <w:numId w:val="6"/>
        </w:numPr>
        <w:spacing w:before="120" w:line="276" w:lineRule="auto"/>
        <w:ind w:left="992" w:hanging="357"/>
        <w:jc w:val="both"/>
        <w:rPr>
          <w:b/>
          <w:bCs/>
        </w:rPr>
      </w:pPr>
      <w:r w:rsidRPr="00A04602">
        <w:rPr>
          <w:b/>
        </w:rPr>
        <w:t>Държавно обществено осигуряване</w:t>
      </w:r>
    </w:p>
    <w:p w14:paraId="6E5067F5" w14:textId="45D9A292" w:rsidR="00A04602" w:rsidRPr="00035E25" w:rsidRDefault="00A04602" w:rsidP="00A04602">
      <w:pPr>
        <w:ind w:firstLine="567"/>
        <w:jc w:val="both"/>
        <w:rPr>
          <w:rFonts w:eastAsiaTheme="minorHAnsi"/>
        </w:rPr>
      </w:pPr>
      <w:r w:rsidRPr="00035E25">
        <w:t xml:space="preserve">Общата сума на </w:t>
      </w:r>
      <w:r w:rsidRPr="00035E25">
        <w:rPr>
          <w:b/>
        </w:rPr>
        <w:t>приходите, помощите и даренията</w:t>
      </w:r>
      <w:r w:rsidRPr="00035E25">
        <w:t xml:space="preserve"> по бюджета на Държавното обществено осигуряване (ДОО) към 3</w:t>
      </w:r>
      <w:r w:rsidRPr="00035E25">
        <w:rPr>
          <w:lang w:val="en-US"/>
        </w:rPr>
        <w:t>1</w:t>
      </w:r>
      <w:r w:rsidRPr="00035E25">
        <w:t>.</w:t>
      </w:r>
      <w:r w:rsidRPr="00035E25">
        <w:rPr>
          <w:lang w:val="en-US"/>
        </w:rPr>
        <w:t>12</w:t>
      </w:r>
      <w:r w:rsidRPr="00035E25">
        <w:t>.202</w:t>
      </w:r>
      <w:r w:rsidRPr="00035E25">
        <w:rPr>
          <w:lang w:val="ru-RU"/>
        </w:rPr>
        <w:t>3</w:t>
      </w:r>
      <w:r w:rsidRPr="00035E25">
        <w:t xml:space="preserve"> г. възлиза на </w:t>
      </w:r>
      <w:r w:rsidRPr="00035E25">
        <w:rPr>
          <w:lang w:val="en-US"/>
        </w:rPr>
        <w:t>11</w:t>
      </w:r>
      <w:r w:rsidRPr="00035E25">
        <w:t> </w:t>
      </w:r>
      <w:r w:rsidRPr="00035E25">
        <w:rPr>
          <w:lang w:val="en-US"/>
        </w:rPr>
        <w:t>390</w:t>
      </w:r>
      <w:r w:rsidRPr="00035E25">
        <w:t>,</w:t>
      </w:r>
      <w:r w:rsidRPr="00035E25">
        <w:rPr>
          <w:lang w:val="en-US"/>
        </w:rPr>
        <w:t>5</w:t>
      </w:r>
      <w:r w:rsidRPr="00035E25">
        <w:t xml:space="preserve"> млн. лв. Съпоставени с 202</w:t>
      </w:r>
      <w:r w:rsidRPr="00035E25">
        <w:rPr>
          <w:lang w:val="ru-RU"/>
        </w:rPr>
        <w:t>2</w:t>
      </w:r>
      <w:r w:rsidR="00D565E0">
        <w:t> </w:t>
      </w:r>
      <w:r w:rsidRPr="00035E25">
        <w:t>г., приходите по бюджета на ДОО нарастват с</w:t>
      </w:r>
      <w:r w:rsidRPr="00035E25">
        <w:rPr>
          <w:lang w:val="ru-RU"/>
        </w:rPr>
        <w:t xml:space="preserve"> 1 </w:t>
      </w:r>
      <w:r w:rsidRPr="00035E25">
        <w:rPr>
          <w:lang w:val="en-US"/>
        </w:rPr>
        <w:t>413</w:t>
      </w:r>
      <w:r w:rsidRPr="00035E25">
        <w:t>,</w:t>
      </w:r>
      <w:r w:rsidRPr="00035E25">
        <w:rPr>
          <w:lang w:val="en-US"/>
        </w:rPr>
        <w:t>5</w:t>
      </w:r>
      <w:r w:rsidRPr="00035E25">
        <w:t xml:space="preserve"> млн. лв. (14,</w:t>
      </w:r>
      <w:r w:rsidRPr="00035E25">
        <w:rPr>
          <w:lang w:val="en-US"/>
        </w:rPr>
        <w:t>2</w:t>
      </w:r>
      <w:r w:rsidRPr="00035E25">
        <w:t xml:space="preserve"> %). Постъпилите средства представляват </w:t>
      </w:r>
      <w:r w:rsidRPr="00035E25">
        <w:rPr>
          <w:lang w:val="en-US"/>
        </w:rPr>
        <w:t>101</w:t>
      </w:r>
      <w:r w:rsidRPr="00035E25">
        <w:t>,</w:t>
      </w:r>
      <w:r w:rsidRPr="00035E25">
        <w:rPr>
          <w:lang w:val="en-US"/>
        </w:rPr>
        <w:t>4</w:t>
      </w:r>
      <w:r w:rsidRPr="00035E25">
        <w:t xml:space="preserve"> % спрямо разчетените в Закона за бюджета на Държавното обществено осигуряване за 2023 г. (ЗБДОО за  2023 г.). Най-голям е делът на приходите от осигурителни вноски (98,</w:t>
      </w:r>
      <w:r w:rsidRPr="00035E25">
        <w:rPr>
          <w:lang w:val="ru-RU"/>
        </w:rPr>
        <w:t>4</w:t>
      </w:r>
      <w:r w:rsidRPr="00035E25">
        <w:t xml:space="preserve"> % от общите приходи), които за отчетния период те са в размер на </w:t>
      </w:r>
      <w:r w:rsidRPr="00035E25">
        <w:rPr>
          <w:lang w:val="en-US"/>
        </w:rPr>
        <w:t>11</w:t>
      </w:r>
      <w:r w:rsidRPr="00035E25">
        <w:t> </w:t>
      </w:r>
      <w:r w:rsidRPr="00035E25">
        <w:rPr>
          <w:lang w:val="en-US"/>
        </w:rPr>
        <w:t>205</w:t>
      </w:r>
      <w:r w:rsidRPr="00035E25">
        <w:t>,</w:t>
      </w:r>
      <w:r w:rsidRPr="00035E25">
        <w:rPr>
          <w:lang w:val="en-US"/>
        </w:rPr>
        <w:t>5</w:t>
      </w:r>
      <w:r w:rsidRPr="00035E25">
        <w:t xml:space="preserve"> млн. лв. Приходите от осигурителни вноски към 3</w:t>
      </w:r>
      <w:r w:rsidRPr="00035E25">
        <w:rPr>
          <w:lang w:val="en-US"/>
        </w:rPr>
        <w:t>1</w:t>
      </w:r>
      <w:r w:rsidRPr="00035E25">
        <w:t>.</w:t>
      </w:r>
      <w:r w:rsidRPr="00035E25">
        <w:rPr>
          <w:lang w:val="en-US"/>
        </w:rPr>
        <w:t>12</w:t>
      </w:r>
      <w:r w:rsidRPr="00035E25">
        <w:t xml:space="preserve">.2023 г. са </w:t>
      </w:r>
      <w:r w:rsidRPr="00035E25">
        <w:rPr>
          <w:lang w:val="en-US"/>
        </w:rPr>
        <w:t>101</w:t>
      </w:r>
      <w:r w:rsidRPr="00035E25">
        <w:t>,</w:t>
      </w:r>
      <w:r w:rsidRPr="00035E25">
        <w:rPr>
          <w:lang w:val="en-US"/>
        </w:rPr>
        <w:t>1</w:t>
      </w:r>
      <w:r w:rsidRPr="00035E25">
        <w:t xml:space="preserve"> % от разчетите към ЗБДОО за 2023 г.</w:t>
      </w:r>
    </w:p>
    <w:p w14:paraId="1DB104B0" w14:textId="2CE2DAC7" w:rsidR="00A04602" w:rsidRPr="00035E25" w:rsidRDefault="00A04602" w:rsidP="00A04602">
      <w:pPr>
        <w:ind w:firstLine="567"/>
        <w:jc w:val="both"/>
        <w:rPr>
          <w:bCs/>
        </w:rPr>
      </w:pPr>
      <w:r w:rsidRPr="00035E25">
        <w:rPr>
          <w:bCs/>
        </w:rPr>
        <w:t>Отчетените неданъчни приходи към края на 2023 г. по бюджета на ДОО възлизат на 1</w:t>
      </w:r>
      <w:r w:rsidRPr="00035E25">
        <w:rPr>
          <w:bCs/>
          <w:lang w:val="en-US"/>
        </w:rPr>
        <w:t>85</w:t>
      </w:r>
      <w:r w:rsidRPr="00035E25">
        <w:rPr>
          <w:bCs/>
        </w:rPr>
        <w:t>,</w:t>
      </w:r>
      <w:r w:rsidRPr="00035E25">
        <w:rPr>
          <w:bCs/>
          <w:lang w:val="en-US"/>
        </w:rPr>
        <w:t>0</w:t>
      </w:r>
      <w:r w:rsidR="009A7231">
        <w:rPr>
          <w:bCs/>
        </w:rPr>
        <w:t> </w:t>
      </w:r>
      <w:r w:rsidRPr="00035E25">
        <w:rPr>
          <w:bCs/>
        </w:rPr>
        <w:t>млн. лв., в т.ч. 1</w:t>
      </w:r>
      <w:r w:rsidRPr="00035E25">
        <w:rPr>
          <w:bCs/>
          <w:lang w:val="en-US"/>
        </w:rPr>
        <w:t>52</w:t>
      </w:r>
      <w:r w:rsidRPr="00035E25">
        <w:rPr>
          <w:bCs/>
        </w:rPr>
        <w:t>,</w:t>
      </w:r>
      <w:r w:rsidRPr="00035E25">
        <w:rPr>
          <w:bCs/>
          <w:lang w:val="en-US"/>
        </w:rPr>
        <w:t>3</w:t>
      </w:r>
      <w:r w:rsidRPr="00035E25">
        <w:rPr>
          <w:bCs/>
        </w:rPr>
        <w:t xml:space="preserve"> млн. лв. постъпили средства по чл. 4б, чл. 4в и чл. 69б от Кодекса за социално осигуряване (КСО)</w:t>
      </w:r>
      <w:r w:rsidRPr="00035E25">
        <w:t>.</w:t>
      </w:r>
      <w:r w:rsidRPr="00035E25">
        <w:rPr>
          <w:bCs/>
        </w:rPr>
        <w:t xml:space="preserve"> </w:t>
      </w:r>
    </w:p>
    <w:p w14:paraId="2B0D8FF5" w14:textId="77777777" w:rsidR="00A04602" w:rsidRPr="00A94BE2" w:rsidRDefault="00A04602" w:rsidP="00A04602">
      <w:pPr>
        <w:ind w:firstLine="567"/>
        <w:jc w:val="both"/>
        <w:rPr>
          <w:bCs/>
        </w:rPr>
      </w:pPr>
      <w:r w:rsidRPr="00035E25">
        <w:rPr>
          <w:bCs/>
        </w:rPr>
        <w:t xml:space="preserve">Получените трансфери от централния бюджет (вкл. за поети осигурителни вноски) </w:t>
      </w:r>
      <w:r w:rsidRPr="00A94BE2">
        <w:rPr>
          <w:bCs/>
        </w:rPr>
        <w:t xml:space="preserve">за периода са </w:t>
      </w:r>
      <w:r w:rsidRPr="00A94BE2">
        <w:rPr>
          <w:bCs/>
          <w:lang w:val="en-US"/>
        </w:rPr>
        <w:t>10</w:t>
      </w:r>
      <w:r w:rsidRPr="00A94BE2">
        <w:rPr>
          <w:bCs/>
        </w:rPr>
        <w:t> </w:t>
      </w:r>
      <w:r w:rsidRPr="00A94BE2">
        <w:rPr>
          <w:bCs/>
          <w:lang w:val="en-US"/>
        </w:rPr>
        <w:t>251</w:t>
      </w:r>
      <w:r w:rsidRPr="00A94BE2">
        <w:rPr>
          <w:bCs/>
        </w:rPr>
        <w:t>,</w:t>
      </w:r>
      <w:r w:rsidRPr="00A94BE2">
        <w:rPr>
          <w:bCs/>
          <w:lang w:val="en-US"/>
        </w:rPr>
        <w:t>4</w:t>
      </w:r>
      <w:r w:rsidRPr="00A94BE2">
        <w:rPr>
          <w:bCs/>
        </w:rPr>
        <w:t xml:space="preserve"> млн. лв.</w:t>
      </w:r>
    </w:p>
    <w:p w14:paraId="42587070" w14:textId="77777777" w:rsidR="00A04602" w:rsidRPr="009E5C0F" w:rsidRDefault="00A04602" w:rsidP="00A04602">
      <w:pPr>
        <w:tabs>
          <w:tab w:val="num" w:pos="1499"/>
          <w:tab w:val="num" w:pos="2148"/>
        </w:tabs>
        <w:ind w:firstLine="567"/>
        <w:jc w:val="both"/>
        <w:rPr>
          <w:bCs/>
        </w:rPr>
      </w:pPr>
      <w:r w:rsidRPr="009E5C0F">
        <w:rPr>
          <w:bCs/>
        </w:rPr>
        <w:t xml:space="preserve">Размерът на извършените </w:t>
      </w:r>
      <w:r w:rsidRPr="009E5C0F">
        <w:rPr>
          <w:b/>
          <w:bCs/>
        </w:rPr>
        <w:t xml:space="preserve">разходи </w:t>
      </w:r>
      <w:r w:rsidRPr="009E5C0F">
        <w:rPr>
          <w:bCs/>
        </w:rPr>
        <w:t xml:space="preserve">за 2023 г. по бюджета на ДОО е </w:t>
      </w:r>
      <w:r w:rsidRPr="009E5C0F">
        <w:rPr>
          <w:bCs/>
          <w:lang w:val="en-US"/>
        </w:rPr>
        <w:t>21</w:t>
      </w:r>
      <w:r w:rsidRPr="009E5C0F">
        <w:rPr>
          <w:bCs/>
        </w:rPr>
        <w:t> </w:t>
      </w:r>
      <w:r w:rsidRPr="009E5C0F">
        <w:rPr>
          <w:bCs/>
          <w:lang w:val="en-US"/>
        </w:rPr>
        <w:t>609</w:t>
      </w:r>
      <w:r w:rsidRPr="009E5C0F">
        <w:rPr>
          <w:bCs/>
        </w:rPr>
        <w:t>,</w:t>
      </w:r>
      <w:r w:rsidRPr="009E5C0F">
        <w:rPr>
          <w:bCs/>
          <w:lang w:val="en-US"/>
        </w:rPr>
        <w:t>6</w:t>
      </w:r>
      <w:r w:rsidRPr="009E5C0F">
        <w:rPr>
          <w:bCs/>
        </w:rPr>
        <w:t xml:space="preserve"> млн. лв. Това е 99,2 % изпълнение на планираните по ЗБДОО за 2023 г. средства. Спрямо предходната година, общо разходите по бюджета на ДОО са с 3 501,2 млн. лв. (19,3 %) повече. От структурна гледна точка най-голям относителен дял в общите разходи заемат разходите за пенсии, обезщетения и помощи, изплащани на основание КСО – общо 21 445,7 млн. лв. или 99,2 % от общия размер на разходите за отчетния период. </w:t>
      </w:r>
    </w:p>
    <w:p w14:paraId="55DE48A3" w14:textId="2EDBB818" w:rsidR="00A04602" w:rsidRPr="002938CA" w:rsidRDefault="00A04602" w:rsidP="00A04602">
      <w:pPr>
        <w:tabs>
          <w:tab w:val="num" w:pos="1499"/>
          <w:tab w:val="num" w:pos="2148"/>
        </w:tabs>
        <w:ind w:firstLine="567"/>
        <w:jc w:val="both"/>
        <w:rPr>
          <w:bCs/>
        </w:rPr>
      </w:pPr>
      <w:r w:rsidRPr="000B323A">
        <w:rPr>
          <w:bCs/>
        </w:rPr>
        <w:t xml:space="preserve">Отчетените разходи за </w:t>
      </w:r>
      <w:r w:rsidRPr="000B323A">
        <w:rPr>
          <w:b/>
          <w:bCs/>
        </w:rPr>
        <w:t>пенсии</w:t>
      </w:r>
      <w:r w:rsidRPr="000B323A">
        <w:rPr>
          <w:bCs/>
        </w:rPr>
        <w:t xml:space="preserve"> по бюджета на ДОО към 31.12.2023 г. възлизат на 19 121,1 млн. лв., което е 99,8 % от планираните по закон и с 3 486,4 млн. лв. повече спрямо 2022</w:t>
      </w:r>
      <w:r w:rsidR="00EC7A00">
        <w:rPr>
          <w:bCs/>
        </w:rPr>
        <w:t> </w:t>
      </w:r>
      <w:r w:rsidRPr="000B323A">
        <w:rPr>
          <w:bCs/>
        </w:rPr>
        <w:t xml:space="preserve">г. Основните причини за това са: ефектите от изплащане на увеличените пенсии от 1 юли 2022 г. и от 1 октомври 2022 г., вкл. увеличението на минималната и на максималната пенсии, изплащането на осъвременените с 12 % от 1 юли 2023 г. пенсиите, както и допълнителните еднократни плащания в размер на 70 лв. към пенсиите на всички </w:t>
      </w:r>
      <w:r w:rsidRPr="002938CA">
        <w:rPr>
          <w:bCs/>
        </w:rPr>
        <w:t>пенсионери през м. април 2022</w:t>
      </w:r>
      <w:r w:rsidRPr="002938CA">
        <w:rPr>
          <w:bCs/>
          <w:lang w:val="en-US"/>
        </w:rPr>
        <w:t> </w:t>
      </w:r>
      <w:r w:rsidRPr="002938CA">
        <w:rPr>
          <w:bCs/>
        </w:rPr>
        <w:t>г. и на тези от тях с пенсии до размера на линията на бедност през април 2023 г.</w:t>
      </w:r>
    </w:p>
    <w:p w14:paraId="4B9567C9" w14:textId="77777777" w:rsidR="00A04602" w:rsidRPr="002938CA" w:rsidRDefault="00A04602" w:rsidP="00A04602">
      <w:pPr>
        <w:tabs>
          <w:tab w:val="num" w:pos="1499"/>
          <w:tab w:val="num" w:pos="2148"/>
        </w:tabs>
        <w:ind w:firstLine="567"/>
        <w:jc w:val="both"/>
      </w:pPr>
      <w:r w:rsidRPr="002938CA">
        <w:t xml:space="preserve">Отчетените разходи за </w:t>
      </w:r>
      <w:r w:rsidRPr="002938CA">
        <w:rPr>
          <w:b/>
        </w:rPr>
        <w:t>краткосрочни обезщетения и помощи по КСО</w:t>
      </w:r>
      <w:r w:rsidRPr="002938CA">
        <w:t xml:space="preserve"> са в размер на 2 324,5 млн. лв.</w:t>
      </w:r>
      <w:r w:rsidRPr="002938CA">
        <w:rPr>
          <w:lang w:val="en-US"/>
        </w:rPr>
        <w:t xml:space="preserve">, </w:t>
      </w:r>
      <w:r w:rsidRPr="002938CA">
        <w:t>което е 94,3 % от разчетените в закона средства. Спрямо предходната година изплатените обезщетения по КСО са със 161,2 млн. лв. (7,5 %) повече.</w:t>
      </w:r>
    </w:p>
    <w:p w14:paraId="3DBB6A4E" w14:textId="77777777" w:rsidR="00A04602" w:rsidRPr="00A04602" w:rsidRDefault="00A04602" w:rsidP="00A04602">
      <w:pPr>
        <w:numPr>
          <w:ilvl w:val="1"/>
          <w:numId w:val="6"/>
        </w:numPr>
        <w:spacing w:before="120" w:line="276" w:lineRule="auto"/>
        <w:ind w:left="992" w:hanging="357"/>
        <w:jc w:val="both"/>
        <w:rPr>
          <w:b/>
        </w:rPr>
      </w:pPr>
      <w:r w:rsidRPr="00A04602">
        <w:rPr>
          <w:b/>
        </w:rPr>
        <w:t>Национална здравноосигурителна каса</w:t>
      </w:r>
    </w:p>
    <w:p w14:paraId="59E9F578" w14:textId="4A6CA171" w:rsidR="00A04602" w:rsidRPr="00D56089" w:rsidRDefault="00A04602" w:rsidP="00A04602">
      <w:pPr>
        <w:ind w:firstLine="567"/>
        <w:jc w:val="both"/>
        <w:rPr>
          <w:color w:val="4F81BD" w:themeColor="accent1"/>
        </w:rPr>
      </w:pPr>
      <w:r w:rsidRPr="009027AC">
        <w:t xml:space="preserve">Общият размер на събраните </w:t>
      </w:r>
      <w:r w:rsidRPr="009027AC">
        <w:rPr>
          <w:b/>
        </w:rPr>
        <w:t>приходи, помощи и дарения</w:t>
      </w:r>
      <w:r w:rsidRPr="009027AC">
        <w:t xml:space="preserve"> по бюджета на НЗОК през 2023</w:t>
      </w:r>
      <w:r w:rsidR="002B185D">
        <w:t> </w:t>
      </w:r>
      <w:r w:rsidRPr="009027AC">
        <w:t>г. възлиза на 4 347,7 млн. лв. Постъпилите средства представляват 100,8 % от предвидените в Закона за бюджета на Националната здравноосигурителна каса за 2023 г. приходи и са с 516,6</w:t>
      </w:r>
      <w:r w:rsidR="009A7231">
        <w:t xml:space="preserve"> млн. лв. </w:t>
      </w:r>
      <w:r w:rsidRPr="009027AC">
        <w:t xml:space="preserve">(13,5 %) повече в сравнение с предходната година. Постъпленията от здравноосигурителни вноски са в размер на 4 316,6 млн. лв., което е 100,7 % спрямо годишния разчет и с 513,1 млн. лв. повече от 2022 г. Събраните неданъчни приходи към 31.12.2023 г. са 31,1 млн. лв., като основната част от тях са приходи от глоби, санкции и наказателни лихви. </w:t>
      </w:r>
    </w:p>
    <w:p w14:paraId="7F7AF334" w14:textId="77777777" w:rsidR="00A04602" w:rsidRPr="00562C9A" w:rsidRDefault="00A04602" w:rsidP="00A04602">
      <w:pPr>
        <w:ind w:firstLine="567"/>
        <w:jc w:val="both"/>
        <w:rPr>
          <w:lang w:val="ru-RU"/>
        </w:rPr>
      </w:pPr>
      <w:r w:rsidRPr="00562C9A">
        <w:t>Полученият трансфер от МЗ за</w:t>
      </w:r>
      <w:r w:rsidRPr="00562C9A">
        <w:rPr>
          <w:szCs w:val="20"/>
        </w:rPr>
        <w:t xml:space="preserve"> финансиране на разходите </w:t>
      </w:r>
      <w:r w:rsidRPr="00562C9A">
        <w:t xml:space="preserve">за лекарствени продукти – ваксини и дейности по прилагането им по чл. 82, ал. 2, т. 3 от Закона за здравето; за дейности за здравно неосигурени лица, включващи: интензивно лечение, комплексно диспансерно (амбулаторно) наблюдение при пациенти с психиатрични заболявания и комплексно диспансерно (амбулаторно) наблюдение при пациенти с кожно-венерически заболявания по чл. 82, ал. 1, т. 1а, 3а и 6б от Закона за здравето, дейности за здравно неосигурени жени по чл. 82, ал. 1, т. 2 от Закона за здравето и за сумите по чл. 37, ал. 6 от Закона за здравното осигуряване, за дейности във връзка с лечение на български граждани в страната или в чужбина съобразно тяхното заболяване, за които не са предвидени други механизми за финансиране или които не могат да бъдат осигурени в страната, както и за медицински изделия, помощни средства, приспособления и съоръжения за хората с увреждания, извън обхвата на задължителното здравно осигуряване </w:t>
      </w:r>
      <w:r w:rsidRPr="00562C9A">
        <w:rPr>
          <w:szCs w:val="20"/>
        </w:rPr>
        <w:t xml:space="preserve">за отчетния период </w:t>
      </w:r>
      <w:r w:rsidRPr="00562C9A">
        <w:rPr>
          <w:szCs w:val="20"/>
          <w:lang w:val="en-US"/>
        </w:rPr>
        <w:t>e</w:t>
      </w:r>
      <w:r w:rsidRPr="00562C9A">
        <w:rPr>
          <w:szCs w:val="20"/>
        </w:rPr>
        <w:t xml:space="preserve"> в размер на 153,1</w:t>
      </w:r>
      <w:r w:rsidRPr="00562C9A">
        <w:t xml:space="preserve"> млн. лева.</w:t>
      </w:r>
      <w:r w:rsidRPr="00562C9A">
        <w:rPr>
          <w:lang w:val="ru-RU"/>
        </w:rPr>
        <w:t xml:space="preserve"> </w:t>
      </w:r>
      <w:r w:rsidRPr="00562C9A">
        <w:t>В сравнение с 2022 г. се отчита намаление от 201,0 млн. лв. поради преустановяване на трансферите за НЗОК от бюджета на Министерството на здравеопазването, предназначени за подкрепа на медицинския персонал за работа при неблагоприятни условия и за поставяне на ваксини срещу COVID-19, след изтичане на срока на извънредна епидемична обстановка.</w:t>
      </w:r>
    </w:p>
    <w:p w14:paraId="2AD10056" w14:textId="77777777" w:rsidR="00A04602" w:rsidRPr="00810A72" w:rsidRDefault="00A04602" w:rsidP="00A04602">
      <w:pPr>
        <w:ind w:firstLine="567"/>
        <w:jc w:val="both"/>
      </w:pPr>
      <w:r w:rsidRPr="00562C9A">
        <w:t xml:space="preserve">Получените трансфери от централния бюджет (вкл. за поети осигурителни вноски) </w:t>
      </w:r>
      <w:r w:rsidRPr="00810A72">
        <w:t xml:space="preserve">за периода са 2 565,7 млн. лв. </w:t>
      </w:r>
    </w:p>
    <w:p w14:paraId="2F06B331" w14:textId="77777777" w:rsidR="00A04602" w:rsidRPr="00810A72" w:rsidRDefault="00A04602" w:rsidP="00A04602">
      <w:pPr>
        <w:ind w:firstLine="567"/>
        <w:jc w:val="both"/>
      </w:pPr>
      <w:r w:rsidRPr="00810A72">
        <w:t xml:space="preserve">Отчетените </w:t>
      </w:r>
      <w:r w:rsidRPr="00810A72">
        <w:rPr>
          <w:b/>
        </w:rPr>
        <w:t>разходи</w:t>
      </w:r>
      <w:r w:rsidRPr="00810A72">
        <w:t xml:space="preserve"> към 3</w:t>
      </w:r>
      <w:r w:rsidRPr="00810A72">
        <w:rPr>
          <w:lang w:val="en-US"/>
        </w:rPr>
        <w:t>1</w:t>
      </w:r>
      <w:r w:rsidRPr="00810A72">
        <w:t>.</w:t>
      </w:r>
      <w:r w:rsidRPr="00810A72">
        <w:rPr>
          <w:lang w:val="en-US"/>
        </w:rPr>
        <w:t>12</w:t>
      </w:r>
      <w:r w:rsidRPr="00810A72">
        <w:t xml:space="preserve">.2023 г. са в размер на </w:t>
      </w:r>
      <w:r w:rsidRPr="00810A72">
        <w:rPr>
          <w:lang w:val="en-US"/>
        </w:rPr>
        <w:t>6</w:t>
      </w:r>
      <w:r w:rsidRPr="00810A72">
        <w:t> </w:t>
      </w:r>
      <w:r w:rsidRPr="00810A72">
        <w:rPr>
          <w:lang w:val="en-US"/>
        </w:rPr>
        <w:t>881</w:t>
      </w:r>
      <w:r w:rsidRPr="00810A72">
        <w:t xml:space="preserve">,7 млн. лв. и нарастват с </w:t>
      </w:r>
      <w:r w:rsidRPr="00810A72">
        <w:rPr>
          <w:lang w:val="en-US"/>
        </w:rPr>
        <w:t>649</w:t>
      </w:r>
      <w:r w:rsidRPr="00810A72">
        <w:t>,</w:t>
      </w:r>
      <w:r w:rsidRPr="00810A72">
        <w:rPr>
          <w:lang w:val="en-US"/>
        </w:rPr>
        <w:t>7 </w:t>
      </w:r>
      <w:r w:rsidRPr="00810A72">
        <w:t>млн. лв. (1</w:t>
      </w:r>
      <w:r w:rsidRPr="00810A72">
        <w:rPr>
          <w:lang w:val="en-US"/>
        </w:rPr>
        <w:t>0</w:t>
      </w:r>
      <w:r w:rsidRPr="00810A72">
        <w:t>,</w:t>
      </w:r>
      <w:r w:rsidRPr="00810A72">
        <w:rPr>
          <w:lang w:val="en-US"/>
        </w:rPr>
        <w:t>4</w:t>
      </w:r>
      <w:r w:rsidRPr="00810A72">
        <w:t xml:space="preserve"> %) спрямо предходната година. Спрямо предвидените в ЗБНЗОК за 2023 г. суми отчетените разходи представляват 97,9 %.</w:t>
      </w:r>
    </w:p>
    <w:p w14:paraId="2F153160" w14:textId="77777777" w:rsidR="00A04602" w:rsidRPr="00810A72" w:rsidRDefault="00A04602" w:rsidP="00A04602">
      <w:pPr>
        <w:ind w:firstLine="567"/>
        <w:jc w:val="both"/>
      </w:pPr>
      <w:r w:rsidRPr="00810A72">
        <w:t>Най-голям относителен дял в общите разходи (96,2 %) заемат здравноосигурителните плащания, които възлизат на 6 621,7 млн. лева. В отделните направления на здравноосигурителни плащания изпълнението на бюджета за 2023 г. е следното:</w:t>
      </w:r>
    </w:p>
    <w:p w14:paraId="5B13E9CB" w14:textId="77777777" w:rsidR="00A04602" w:rsidRPr="00810A72" w:rsidRDefault="00A04602" w:rsidP="00A04602">
      <w:pPr>
        <w:numPr>
          <w:ilvl w:val="0"/>
          <w:numId w:val="15"/>
        </w:numPr>
        <w:tabs>
          <w:tab w:val="num" w:pos="0"/>
          <w:tab w:val="left" w:pos="720"/>
          <w:tab w:val="left" w:pos="1134"/>
        </w:tabs>
        <w:spacing w:before="120" w:line="276" w:lineRule="auto"/>
        <w:ind w:hanging="6169"/>
        <w:jc w:val="both"/>
        <w:rPr>
          <w:bCs/>
        </w:rPr>
      </w:pPr>
      <w:r w:rsidRPr="00810A72">
        <w:rPr>
          <w:b/>
          <w:i/>
        </w:rPr>
        <w:t>първична извънболнична медицинска помощ</w:t>
      </w:r>
      <w:r w:rsidRPr="00810A72">
        <w:rPr>
          <w:i/>
        </w:rPr>
        <w:t xml:space="preserve"> –</w:t>
      </w:r>
      <w:r w:rsidRPr="00810A72">
        <w:t xml:space="preserve"> 448,3 млн. лева;</w:t>
      </w:r>
      <w:r w:rsidRPr="00810A72">
        <w:rPr>
          <w:bCs/>
        </w:rPr>
        <w:t xml:space="preserve"> </w:t>
      </w:r>
    </w:p>
    <w:p w14:paraId="25FCFA3F" w14:textId="77777777" w:rsidR="00A04602" w:rsidRPr="00810A72" w:rsidRDefault="00A04602" w:rsidP="00A04602">
      <w:pPr>
        <w:numPr>
          <w:ilvl w:val="0"/>
          <w:numId w:val="15"/>
        </w:numPr>
        <w:tabs>
          <w:tab w:val="num" w:pos="0"/>
          <w:tab w:val="left" w:pos="720"/>
          <w:tab w:val="left" w:pos="1134"/>
        </w:tabs>
        <w:spacing w:line="276" w:lineRule="auto"/>
        <w:ind w:hanging="6169"/>
        <w:jc w:val="both"/>
        <w:rPr>
          <w:i/>
        </w:rPr>
      </w:pPr>
      <w:r w:rsidRPr="00810A72">
        <w:rPr>
          <w:b/>
          <w:i/>
        </w:rPr>
        <w:t xml:space="preserve">специализирана извънболнична медицинска помощ </w:t>
      </w:r>
      <w:r w:rsidRPr="00810A72">
        <w:t xml:space="preserve"> – 465,3 млн. лева;</w:t>
      </w:r>
    </w:p>
    <w:p w14:paraId="75191322" w14:textId="77777777" w:rsidR="00A04602" w:rsidRPr="00810A72" w:rsidRDefault="00A04602" w:rsidP="00A04602">
      <w:pPr>
        <w:numPr>
          <w:ilvl w:val="0"/>
          <w:numId w:val="15"/>
        </w:numPr>
        <w:tabs>
          <w:tab w:val="num" w:pos="0"/>
          <w:tab w:val="left" w:pos="720"/>
          <w:tab w:val="left" w:pos="1134"/>
        </w:tabs>
        <w:spacing w:line="276" w:lineRule="auto"/>
        <w:ind w:hanging="6169"/>
        <w:jc w:val="both"/>
        <w:rPr>
          <w:b/>
        </w:rPr>
      </w:pPr>
      <w:r w:rsidRPr="00810A72">
        <w:rPr>
          <w:b/>
          <w:i/>
        </w:rPr>
        <w:t xml:space="preserve">дентална помощ </w:t>
      </w:r>
      <w:r w:rsidRPr="00810A72">
        <w:rPr>
          <w:b/>
        </w:rPr>
        <w:t xml:space="preserve">– </w:t>
      </w:r>
      <w:r w:rsidRPr="00810A72">
        <w:t>271,2 млн. лева;</w:t>
      </w:r>
    </w:p>
    <w:p w14:paraId="5DFFEDCB" w14:textId="77777777" w:rsidR="00A04602" w:rsidRPr="00810A72" w:rsidRDefault="00A04602" w:rsidP="00A04602">
      <w:pPr>
        <w:numPr>
          <w:ilvl w:val="0"/>
          <w:numId w:val="15"/>
        </w:numPr>
        <w:tabs>
          <w:tab w:val="num" w:pos="0"/>
          <w:tab w:val="left" w:pos="720"/>
          <w:tab w:val="left" w:pos="1134"/>
        </w:tabs>
        <w:spacing w:line="276" w:lineRule="auto"/>
        <w:ind w:hanging="6169"/>
        <w:jc w:val="both"/>
        <w:rPr>
          <w:b/>
          <w:i/>
        </w:rPr>
      </w:pPr>
      <w:r w:rsidRPr="00810A72">
        <w:rPr>
          <w:b/>
          <w:i/>
        </w:rPr>
        <w:t xml:space="preserve">медико-диагностична дейност </w:t>
      </w:r>
      <w:r w:rsidRPr="00810A72">
        <w:rPr>
          <w:b/>
        </w:rPr>
        <w:t xml:space="preserve">– </w:t>
      </w:r>
      <w:r w:rsidRPr="00810A72">
        <w:t>214,4 млн. лева;</w:t>
      </w:r>
      <w:r w:rsidRPr="00810A72">
        <w:rPr>
          <w:b/>
          <w:i/>
        </w:rPr>
        <w:t xml:space="preserve"> </w:t>
      </w:r>
    </w:p>
    <w:p w14:paraId="3E527B0F" w14:textId="77777777" w:rsidR="00A04602" w:rsidRPr="00810A72" w:rsidRDefault="00A04602" w:rsidP="00A04602">
      <w:pPr>
        <w:numPr>
          <w:ilvl w:val="0"/>
          <w:numId w:val="15"/>
        </w:numPr>
        <w:tabs>
          <w:tab w:val="num" w:pos="0"/>
          <w:tab w:val="left" w:pos="1134"/>
        </w:tabs>
        <w:spacing w:line="276" w:lineRule="auto"/>
        <w:ind w:left="1134" w:hanging="425"/>
        <w:jc w:val="both"/>
      </w:pPr>
      <w:r w:rsidRPr="00810A72">
        <w:rPr>
          <w:b/>
          <w:i/>
        </w:rPr>
        <w:t xml:space="preserve">лекарствени продукти, медицински изделия и диетични храни за домашно лечение на територията на страната  - </w:t>
      </w:r>
      <w:r w:rsidRPr="00810A72">
        <w:t>1 007,8 млн. лв.</w:t>
      </w:r>
    </w:p>
    <w:p w14:paraId="7D47C104" w14:textId="77777777" w:rsidR="00A04602" w:rsidRPr="00810A72" w:rsidRDefault="00A04602" w:rsidP="00A04602">
      <w:pPr>
        <w:numPr>
          <w:ilvl w:val="0"/>
          <w:numId w:val="15"/>
        </w:numPr>
        <w:tabs>
          <w:tab w:val="num" w:pos="0"/>
          <w:tab w:val="left" w:pos="1134"/>
          <w:tab w:val="num" w:pos="6096"/>
        </w:tabs>
        <w:spacing w:line="276" w:lineRule="auto"/>
        <w:ind w:left="1134" w:hanging="425"/>
        <w:jc w:val="both"/>
      </w:pPr>
      <w:r w:rsidRPr="00810A72">
        <w:rPr>
          <w:b/>
          <w:i/>
        </w:rPr>
        <w:t xml:space="preserve"> лекарствени продукти за лечение на злокачествени заболявания в условията на болнична медицинска помощ </w:t>
      </w:r>
      <w:r w:rsidRPr="00810A72">
        <w:t xml:space="preserve"> – 736,7 млн. лева;</w:t>
      </w:r>
    </w:p>
    <w:p w14:paraId="44C4BD19" w14:textId="77777777" w:rsidR="00A04602" w:rsidRPr="00810A72" w:rsidRDefault="00A04602" w:rsidP="00A04602">
      <w:pPr>
        <w:numPr>
          <w:ilvl w:val="0"/>
          <w:numId w:val="15"/>
        </w:numPr>
        <w:tabs>
          <w:tab w:val="num" w:pos="0"/>
          <w:tab w:val="left" w:pos="720"/>
          <w:tab w:val="num" w:pos="1134"/>
        </w:tabs>
        <w:spacing w:line="276" w:lineRule="auto"/>
        <w:ind w:left="1134" w:hanging="425"/>
        <w:jc w:val="both"/>
      </w:pPr>
      <w:r w:rsidRPr="00810A72">
        <w:rPr>
          <w:b/>
          <w:i/>
        </w:rPr>
        <w:t>медицински изделия, прилагани в болничната  помощ –</w:t>
      </w:r>
      <w:r w:rsidRPr="00810A72">
        <w:t xml:space="preserve"> 146,3 млн. лева;</w:t>
      </w:r>
    </w:p>
    <w:p w14:paraId="4A9751A8" w14:textId="77777777" w:rsidR="00A04602" w:rsidRPr="00D56089" w:rsidRDefault="00A04602" w:rsidP="00A04602">
      <w:pPr>
        <w:numPr>
          <w:ilvl w:val="0"/>
          <w:numId w:val="15"/>
        </w:numPr>
        <w:tabs>
          <w:tab w:val="num" w:pos="0"/>
          <w:tab w:val="left" w:pos="720"/>
          <w:tab w:val="left" w:pos="1134"/>
        </w:tabs>
        <w:spacing w:line="276" w:lineRule="auto"/>
        <w:ind w:hanging="6169"/>
        <w:jc w:val="both"/>
        <w:rPr>
          <w:color w:val="4F81BD" w:themeColor="accent1"/>
        </w:rPr>
      </w:pPr>
      <w:r w:rsidRPr="00810A72">
        <w:rPr>
          <w:b/>
          <w:i/>
        </w:rPr>
        <w:t>болнична медицинска помощ –</w:t>
      </w:r>
      <w:r w:rsidRPr="00810A72">
        <w:t xml:space="preserve"> 3 204,1 млн. лева.</w:t>
      </w:r>
      <w:r w:rsidRPr="00D56089">
        <w:rPr>
          <w:color w:val="4F81BD" w:themeColor="accent1"/>
        </w:rPr>
        <w:tab/>
        <w:t xml:space="preserve"> </w:t>
      </w:r>
    </w:p>
    <w:p w14:paraId="2A247140" w14:textId="77777777" w:rsidR="00A04602" w:rsidRPr="00810A72" w:rsidRDefault="00A04602" w:rsidP="00A04602">
      <w:pPr>
        <w:numPr>
          <w:ilvl w:val="0"/>
          <w:numId w:val="15"/>
        </w:numPr>
        <w:tabs>
          <w:tab w:val="num" w:pos="0"/>
          <w:tab w:val="left" w:pos="720"/>
          <w:tab w:val="left" w:pos="1134"/>
        </w:tabs>
        <w:spacing w:line="276" w:lineRule="auto"/>
        <w:ind w:hanging="6169"/>
        <w:jc w:val="both"/>
      </w:pPr>
      <w:r w:rsidRPr="00810A72">
        <w:rPr>
          <w:b/>
          <w:i/>
        </w:rPr>
        <w:t xml:space="preserve">други здравноосигурителни плащания – </w:t>
      </w:r>
      <w:r w:rsidRPr="00810A72">
        <w:t>127,7 млн. лева.</w:t>
      </w:r>
    </w:p>
    <w:p w14:paraId="53196836" w14:textId="77777777" w:rsidR="00A04602" w:rsidRPr="00047A94" w:rsidRDefault="00A04602" w:rsidP="00A04602">
      <w:pPr>
        <w:spacing w:before="120"/>
        <w:ind w:firstLine="567"/>
        <w:jc w:val="both"/>
      </w:pPr>
      <w:r w:rsidRPr="00DD0ABC">
        <w:t xml:space="preserve">Като здравноосигурителни плащания следва да се третират и преведените 164,7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w:t>
      </w:r>
      <w:r w:rsidRPr="00047A94">
        <w:t>здравноосигурителни плащания възлизат на 6 786,4 млн. лв.</w:t>
      </w:r>
    </w:p>
    <w:p w14:paraId="10BFAFCB" w14:textId="77777777" w:rsidR="00A04602" w:rsidRPr="00047A94" w:rsidRDefault="00A04602" w:rsidP="00A04602">
      <w:pPr>
        <w:ind w:firstLine="567"/>
        <w:jc w:val="both"/>
      </w:pPr>
      <w:r w:rsidRPr="00047A94">
        <w:t xml:space="preserve">За периода са отчетени плащания в размер на </w:t>
      </w:r>
      <w:r w:rsidRPr="00047A94">
        <w:rPr>
          <w:lang w:val="en-US"/>
        </w:rPr>
        <w:t>1</w:t>
      </w:r>
      <w:r w:rsidRPr="00047A94">
        <w:t>62,0 млн. лв. за дейности за здравнонеосигурени лица, лекарствени продукти, потребителска такса, медицински изделия за хората с увреждания и за лечение на лица до 18 годишна възраст по чл.82, ал.1а, 3 и 6 от Закона за здравето и на лица над 18 годишна възраст по чл.82, ал.1а и 6.</w:t>
      </w:r>
    </w:p>
    <w:p w14:paraId="24C7BFDC" w14:textId="4E15E83E" w:rsidR="00A04602" w:rsidRDefault="00A04602" w:rsidP="00A04602">
      <w:pPr>
        <w:ind w:firstLine="567"/>
        <w:jc w:val="both"/>
      </w:pPr>
      <w:r w:rsidRPr="001F43A1">
        <w:t>През годината са отчетени 93,2 млн. лв. за административни разходи на институцията, които включват разходите за персонал, за текуща издръжка и лихвени плащания. Усвоените средства за административни разходи заемат 1,4 на сто в структурата на общите разходи за отчетния период. Отчетените капиталови разходи през 2023 г. възлизат на 4,8</w:t>
      </w:r>
      <w:r w:rsidRPr="001F43A1">
        <w:rPr>
          <w:lang w:val="en-US"/>
        </w:rPr>
        <w:t> </w:t>
      </w:r>
      <w:r w:rsidRPr="001F43A1">
        <w:t>млн. лева.</w:t>
      </w:r>
    </w:p>
    <w:p w14:paraId="397B6612" w14:textId="131D371D" w:rsidR="00253516" w:rsidRDefault="00253516" w:rsidP="00A04602">
      <w:pPr>
        <w:ind w:firstLine="567"/>
        <w:jc w:val="both"/>
      </w:pPr>
    </w:p>
    <w:p w14:paraId="62D81997" w14:textId="03C7F355" w:rsidR="00253516" w:rsidRDefault="00253516" w:rsidP="00A04602">
      <w:pPr>
        <w:ind w:firstLine="567"/>
        <w:jc w:val="both"/>
      </w:pPr>
    </w:p>
    <w:p w14:paraId="28CEC85D" w14:textId="77777777" w:rsidR="00253516" w:rsidRPr="001F43A1" w:rsidRDefault="00253516" w:rsidP="00A04602">
      <w:pPr>
        <w:ind w:firstLine="567"/>
        <w:jc w:val="both"/>
      </w:pPr>
    </w:p>
    <w:p w14:paraId="1E5559E5" w14:textId="77777777" w:rsidR="00656380" w:rsidRPr="00D56089" w:rsidRDefault="00656380" w:rsidP="002763DB">
      <w:pPr>
        <w:ind w:firstLine="567"/>
        <w:jc w:val="both"/>
        <w:rPr>
          <w:color w:val="4F81BD" w:themeColor="accent1"/>
        </w:rPr>
      </w:pPr>
    </w:p>
    <w:p w14:paraId="4B66728B" w14:textId="77777777" w:rsidR="00B6120B" w:rsidRPr="00CD77A6" w:rsidRDefault="00B6120B" w:rsidP="00ED2B9A">
      <w:pPr>
        <w:pStyle w:val="Heading1"/>
        <w:numPr>
          <w:ilvl w:val="1"/>
          <w:numId w:val="9"/>
        </w:numPr>
        <w:spacing w:before="120"/>
        <w:ind w:left="788" w:right="-108" w:hanging="431"/>
        <w:jc w:val="both"/>
        <w:rPr>
          <w:sz w:val="24"/>
        </w:rPr>
      </w:pPr>
      <w:r w:rsidRPr="00CD77A6">
        <w:rPr>
          <w:sz w:val="24"/>
        </w:rPr>
        <w:t>Общински бюджети</w:t>
      </w:r>
    </w:p>
    <w:p w14:paraId="34451BDC" w14:textId="77777777" w:rsidR="00CD77A6" w:rsidRPr="00996D8D" w:rsidRDefault="00CD77A6" w:rsidP="00CD77A6">
      <w:pPr>
        <w:numPr>
          <w:ilvl w:val="0"/>
          <w:numId w:val="28"/>
        </w:numPr>
        <w:tabs>
          <w:tab w:val="num" w:pos="540"/>
        </w:tabs>
        <w:spacing w:before="240" w:line="276" w:lineRule="auto"/>
        <w:ind w:left="714" w:hanging="147"/>
        <w:jc w:val="both"/>
        <w:rPr>
          <w:b/>
          <w:color w:val="000000" w:themeColor="text1"/>
        </w:rPr>
      </w:pPr>
      <w:r w:rsidRPr="00996D8D">
        <w:rPr>
          <w:b/>
          <w:color w:val="000000" w:themeColor="text1"/>
        </w:rPr>
        <w:t>Приходи</w:t>
      </w:r>
    </w:p>
    <w:p w14:paraId="5A4A86D6" w14:textId="04DBD387" w:rsidR="00CD77A6" w:rsidRPr="00996D8D" w:rsidRDefault="00CD77A6" w:rsidP="00CD77A6">
      <w:pPr>
        <w:tabs>
          <w:tab w:val="center" w:pos="4153"/>
          <w:tab w:val="right" w:pos="8306"/>
        </w:tabs>
        <w:ind w:firstLine="567"/>
        <w:jc w:val="both"/>
        <w:rPr>
          <w:color w:val="365F91" w:themeColor="accent1" w:themeShade="BF"/>
        </w:rPr>
      </w:pPr>
      <w:r w:rsidRPr="00996D8D">
        <w:rPr>
          <w:color w:val="000000" w:themeColor="text1"/>
        </w:rPr>
        <w:t xml:space="preserve">Собствените приходи по бюджетите на общините към 31.12.2023 г.  </w:t>
      </w:r>
      <w:r w:rsidRPr="00B73744">
        <w:t xml:space="preserve">са в размер на </w:t>
      </w:r>
      <w:r w:rsidRPr="002B4D3D">
        <w:t xml:space="preserve">3 </w:t>
      </w:r>
      <w:r>
        <w:t xml:space="preserve">368,3 </w:t>
      </w:r>
      <w:r w:rsidRPr="00B73744">
        <w:t>млн</w:t>
      </w:r>
      <w:r w:rsidRPr="00996D8D">
        <w:rPr>
          <w:color w:val="000000" w:themeColor="text1"/>
        </w:rPr>
        <w:t xml:space="preserve">., което представлява 102,6 % спрямо разчетените към ЗДБРБ за 2023 г. постъпления в размер на </w:t>
      </w:r>
      <w:r w:rsidRPr="00996D8D">
        <w:rPr>
          <w:bCs/>
          <w:color w:val="000000" w:themeColor="text1"/>
        </w:rPr>
        <w:t xml:space="preserve">3 </w:t>
      </w:r>
      <w:r w:rsidRPr="00996D8D">
        <w:rPr>
          <w:bCs/>
          <w:color w:val="000000" w:themeColor="text1"/>
          <w:lang w:val="en-US"/>
        </w:rPr>
        <w:t>283</w:t>
      </w:r>
      <w:r w:rsidRPr="00996D8D">
        <w:rPr>
          <w:bCs/>
          <w:color w:val="000000" w:themeColor="text1"/>
        </w:rPr>
        <w:t>,1</w:t>
      </w:r>
      <w:r w:rsidRPr="00996D8D">
        <w:rPr>
          <w:color w:val="000000" w:themeColor="text1"/>
        </w:rPr>
        <w:t xml:space="preserve"> млн. лв. и с 221,4 млн. лв. повече спрямо събраните през </w:t>
      </w:r>
      <w:r>
        <w:rPr>
          <w:color w:val="000000" w:themeColor="text1"/>
        </w:rPr>
        <w:t>202</w:t>
      </w:r>
      <w:r w:rsidR="005D7F79">
        <w:rPr>
          <w:color w:val="000000" w:themeColor="text1"/>
        </w:rPr>
        <w:t>2</w:t>
      </w:r>
      <w:r w:rsidRPr="00996D8D">
        <w:rPr>
          <w:color w:val="000000" w:themeColor="text1"/>
        </w:rPr>
        <w:t> г.</w:t>
      </w:r>
    </w:p>
    <w:p w14:paraId="78239741" w14:textId="77777777" w:rsidR="00CD77A6" w:rsidRPr="00996D8D" w:rsidRDefault="00CD77A6" w:rsidP="00CD77A6">
      <w:pPr>
        <w:ind w:firstLine="567"/>
        <w:jc w:val="both"/>
        <w:rPr>
          <w:color w:val="365F91" w:themeColor="accent1" w:themeShade="BF"/>
        </w:rPr>
      </w:pPr>
      <w:r w:rsidRPr="00996D8D">
        <w:rPr>
          <w:i/>
          <w:color w:val="000000" w:themeColor="text1"/>
        </w:rPr>
        <w:t xml:space="preserve">Данъчните </w:t>
      </w:r>
      <w:r w:rsidRPr="00F349A4">
        <w:rPr>
          <w:i/>
          <w:color w:val="000000" w:themeColor="text1"/>
        </w:rPr>
        <w:t>приходи</w:t>
      </w:r>
      <w:r w:rsidRPr="00F349A4">
        <w:rPr>
          <w:color w:val="000000" w:themeColor="text1"/>
        </w:rPr>
        <w:t xml:space="preserve"> по общинските бюджети са в размер на 1 396,5 млн. лв. или </w:t>
      </w:r>
      <w:r w:rsidRPr="00F349A4">
        <w:rPr>
          <w:color w:val="000000" w:themeColor="text1"/>
          <w:lang w:val="en-US"/>
        </w:rPr>
        <w:t>96,7</w:t>
      </w:r>
      <w:r w:rsidRPr="00F349A4">
        <w:rPr>
          <w:color w:val="000000" w:themeColor="text1"/>
        </w:rPr>
        <w:t> %  от годишните разчети към ЗДБРБ за 2023 г. и с 2,2 % (30,5 млн. лв.) повече спрямо тези за предходната година</w:t>
      </w:r>
      <w:r w:rsidRPr="00996D8D">
        <w:rPr>
          <w:color w:val="365F91" w:themeColor="accent1" w:themeShade="BF"/>
        </w:rPr>
        <w:t xml:space="preserve">. </w:t>
      </w:r>
      <w:r w:rsidRPr="00F349A4">
        <w:rPr>
          <w:bCs/>
          <w:color w:val="000000" w:themeColor="text1"/>
        </w:rPr>
        <w:t xml:space="preserve">От </w:t>
      </w:r>
      <w:r w:rsidRPr="00F349A4">
        <w:rPr>
          <w:bCs/>
          <w:i/>
          <w:color w:val="000000" w:themeColor="text1"/>
        </w:rPr>
        <w:t>имуществени данъци по Закона за местните данъци и такси</w:t>
      </w:r>
      <w:r w:rsidRPr="00F349A4">
        <w:rPr>
          <w:bCs/>
          <w:color w:val="000000" w:themeColor="text1"/>
        </w:rPr>
        <w:t xml:space="preserve"> в местните бюджети към 31 декември 2023 г. са постъпили общо </w:t>
      </w:r>
      <w:r w:rsidRPr="007B7ED2">
        <w:t>1 381,1</w:t>
      </w:r>
      <w:r>
        <w:t xml:space="preserve"> </w:t>
      </w:r>
      <w:r w:rsidRPr="00B73744">
        <w:t>млн. лв.</w:t>
      </w:r>
      <w:r w:rsidRPr="00F349A4">
        <w:rPr>
          <w:bCs/>
          <w:color w:val="000000" w:themeColor="text1"/>
        </w:rPr>
        <w:t>,</w:t>
      </w:r>
      <w:r w:rsidRPr="00996D8D">
        <w:rPr>
          <w:bCs/>
          <w:color w:val="365F91" w:themeColor="accent1" w:themeShade="BF"/>
        </w:rPr>
        <w:t xml:space="preserve"> </w:t>
      </w:r>
      <w:r w:rsidRPr="00F349A4">
        <w:rPr>
          <w:bCs/>
          <w:color w:val="000000" w:themeColor="text1"/>
        </w:rPr>
        <w:t xml:space="preserve">което представлява </w:t>
      </w:r>
      <w:r w:rsidRPr="00F349A4">
        <w:rPr>
          <w:bCs/>
          <w:color w:val="000000" w:themeColor="text1"/>
          <w:lang w:val="en-US"/>
        </w:rPr>
        <w:t>96,6</w:t>
      </w:r>
      <w:r w:rsidRPr="00F349A4">
        <w:rPr>
          <w:bCs/>
          <w:color w:val="000000" w:themeColor="text1"/>
        </w:rPr>
        <w:t xml:space="preserve"> % от годишния разчет. </w:t>
      </w:r>
      <w:r w:rsidRPr="00B73744">
        <w:t>С най-значителен дял в приходите от имуществени данъци е данъкът върху придобиването на имущество по дарения и възмезден начин – 3</w:t>
      </w:r>
      <w:r>
        <w:t>8</w:t>
      </w:r>
      <w:r w:rsidRPr="00B73744">
        <w:t>,</w:t>
      </w:r>
      <w:r>
        <w:t>6</w:t>
      </w:r>
      <w:r w:rsidRPr="00B73744">
        <w:t>%, следват данъкът върху превозните средства – 3</w:t>
      </w:r>
      <w:r>
        <w:t>0</w:t>
      </w:r>
      <w:r w:rsidRPr="00B73744">
        <w:t>,</w:t>
      </w:r>
      <w:r>
        <w:t>5</w:t>
      </w:r>
      <w:r w:rsidRPr="00B73744">
        <w:t xml:space="preserve">%, данъкът върху недвижимите имоти – </w:t>
      </w:r>
      <w:r>
        <w:t xml:space="preserve">29,1 </w:t>
      </w:r>
      <w:r w:rsidRPr="00B73744">
        <w:t>% и туристическият данък – 1,8%.</w:t>
      </w:r>
      <w:r w:rsidRPr="00996D8D">
        <w:rPr>
          <w:color w:val="365F91" w:themeColor="accent1" w:themeShade="BF"/>
        </w:rPr>
        <w:t xml:space="preserve"> </w:t>
      </w:r>
      <w:r w:rsidRPr="00B73744">
        <w:t>Към 3</w:t>
      </w:r>
      <w:r>
        <w:t>1</w:t>
      </w:r>
      <w:r w:rsidRPr="00B73744">
        <w:t>.</w:t>
      </w:r>
      <w:r>
        <w:t>12</w:t>
      </w:r>
      <w:r w:rsidRPr="00B73744">
        <w:t xml:space="preserve">.2023 г. по бюджетите на общините са постъпили </w:t>
      </w:r>
      <w:r>
        <w:t>15,4</w:t>
      </w:r>
      <w:r w:rsidRPr="00B73744">
        <w:t xml:space="preserve"> млн. лв. от патентен данък и данък върху таксиметров превоз на пътници.</w:t>
      </w:r>
      <w:r>
        <w:rPr>
          <w:lang w:val="en-US"/>
        </w:rPr>
        <w:t xml:space="preserve"> </w:t>
      </w:r>
      <w:r w:rsidRPr="00381450">
        <w:rPr>
          <w:color w:val="000000" w:themeColor="text1"/>
        </w:rPr>
        <w:t xml:space="preserve">Приходите от други данъци са  0,07 млн. лева.  </w:t>
      </w:r>
    </w:p>
    <w:p w14:paraId="086E9ED0" w14:textId="58478402" w:rsidR="00CD77A6" w:rsidRPr="00996D8D" w:rsidRDefault="00CD77A6" w:rsidP="00CD77A6">
      <w:pPr>
        <w:ind w:firstLine="567"/>
        <w:jc w:val="both"/>
        <w:rPr>
          <w:color w:val="365F91" w:themeColor="accent1" w:themeShade="BF"/>
        </w:rPr>
      </w:pPr>
      <w:r w:rsidRPr="00381450">
        <w:rPr>
          <w:color w:val="000000" w:themeColor="text1"/>
        </w:rPr>
        <w:t xml:space="preserve">Общият размер на </w:t>
      </w:r>
      <w:r w:rsidRPr="00381450">
        <w:rPr>
          <w:i/>
          <w:color w:val="000000" w:themeColor="text1"/>
        </w:rPr>
        <w:t>неданъчните приходи</w:t>
      </w:r>
      <w:r w:rsidRPr="00381450">
        <w:rPr>
          <w:color w:val="000000" w:themeColor="text1"/>
        </w:rPr>
        <w:t xml:space="preserve"> по местните бюджети към 31 декември 2023 г. е </w:t>
      </w:r>
      <w:r w:rsidRPr="008B3994">
        <w:t>1</w:t>
      </w:r>
      <w:r>
        <w:t> </w:t>
      </w:r>
      <w:r w:rsidRPr="008B3994">
        <w:t>9</w:t>
      </w:r>
      <w:r>
        <w:rPr>
          <w:lang w:val="en-US"/>
        </w:rPr>
        <w:t xml:space="preserve">41,2 </w:t>
      </w:r>
      <w:r w:rsidRPr="00B73744">
        <w:t>млн. лв</w:t>
      </w:r>
      <w:r w:rsidRPr="00381450">
        <w:rPr>
          <w:color w:val="000000" w:themeColor="text1"/>
        </w:rPr>
        <w:t xml:space="preserve">. или 107,0 % спрямо разчетите към ЗДБРБ за 2023 г. Най-голям относителен дял заемат приходите от общински такси, които възлизат на </w:t>
      </w:r>
      <w:r>
        <w:t>1 019,0</w:t>
      </w:r>
      <w:r w:rsidRPr="00B73744">
        <w:t xml:space="preserve"> млн. лв.</w:t>
      </w:r>
      <w:r w:rsidRPr="00996D8D">
        <w:rPr>
          <w:color w:val="365F91" w:themeColor="accent1" w:themeShade="BF"/>
        </w:rPr>
        <w:t xml:space="preserve"> </w:t>
      </w:r>
      <w:r w:rsidRPr="00381450">
        <w:rPr>
          <w:color w:val="000000" w:themeColor="text1"/>
        </w:rPr>
        <w:t>(</w:t>
      </w:r>
      <w:r w:rsidRPr="00381450">
        <w:rPr>
          <w:color w:val="000000" w:themeColor="text1"/>
          <w:lang w:val="en-US"/>
        </w:rPr>
        <w:t>9</w:t>
      </w:r>
      <w:r w:rsidRPr="00381450">
        <w:rPr>
          <w:color w:val="000000" w:themeColor="text1"/>
        </w:rPr>
        <w:t>8,5</w:t>
      </w:r>
      <w:r w:rsidRPr="00381450">
        <w:rPr>
          <w:color w:val="000000" w:themeColor="text1"/>
          <w:lang w:val="en-US"/>
        </w:rPr>
        <w:t> </w:t>
      </w:r>
      <w:r w:rsidRPr="00381450">
        <w:rPr>
          <w:color w:val="000000" w:themeColor="text1"/>
        </w:rPr>
        <w:t>% от разчетените за годината), следват приходите и доходите от собственост – 399,8 млн. лв. (</w:t>
      </w:r>
      <w:r w:rsidRPr="00381450">
        <w:rPr>
          <w:color w:val="000000" w:themeColor="text1"/>
          <w:lang w:val="ru-RU"/>
        </w:rPr>
        <w:t>105</w:t>
      </w:r>
      <w:r w:rsidRPr="00381450">
        <w:rPr>
          <w:color w:val="000000" w:themeColor="text1"/>
        </w:rPr>
        <w:t>,2 % спрямо разчетените за 2023 г</w:t>
      </w:r>
      <w:r w:rsidRPr="001F37BF">
        <w:rPr>
          <w:color w:val="000000" w:themeColor="text1"/>
        </w:rPr>
        <w:t>.), постъпленията от продажба на нефинансови активи – 278,7 млн. лв. (133,8</w:t>
      </w:r>
      <w:r>
        <w:rPr>
          <w:color w:val="000000" w:themeColor="text1"/>
        </w:rPr>
        <w:t> </w:t>
      </w:r>
      <w:r w:rsidRPr="001F37BF">
        <w:rPr>
          <w:color w:val="000000" w:themeColor="text1"/>
        </w:rPr>
        <w:t>% спрямо разчета за годината),</w:t>
      </w:r>
      <w:r w:rsidRPr="001F37BF">
        <w:t xml:space="preserve"> </w:t>
      </w:r>
      <w:r w:rsidRPr="001F37BF">
        <w:rPr>
          <w:color w:val="000000" w:themeColor="text1"/>
        </w:rPr>
        <w:t>постъпленията от глоби, санкции и наказателни лихви – 74,0 млн. лв.</w:t>
      </w:r>
      <w:r>
        <w:rPr>
          <w:color w:val="365F91" w:themeColor="accent1" w:themeShade="BF"/>
        </w:rPr>
        <w:t xml:space="preserve"> </w:t>
      </w:r>
      <w:r w:rsidRPr="001F37BF">
        <w:rPr>
          <w:color w:val="000000" w:themeColor="text1"/>
        </w:rPr>
        <w:t>и</w:t>
      </w:r>
      <w:r>
        <w:rPr>
          <w:color w:val="365F91" w:themeColor="accent1" w:themeShade="BF"/>
        </w:rPr>
        <w:t xml:space="preserve"> </w:t>
      </w:r>
      <w:r>
        <w:t xml:space="preserve">приходите от концесии - </w:t>
      </w:r>
      <w:r w:rsidRPr="008B3994">
        <w:t>67,0</w:t>
      </w:r>
      <w:r>
        <w:t xml:space="preserve"> млн. лева.</w:t>
      </w:r>
    </w:p>
    <w:p w14:paraId="16CF5154" w14:textId="77777777" w:rsidR="00CD77A6" w:rsidRPr="00996D8D" w:rsidRDefault="00CD77A6" w:rsidP="00CD77A6">
      <w:pPr>
        <w:ind w:firstLine="567"/>
        <w:jc w:val="both"/>
        <w:rPr>
          <w:color w:val="365F91" w:themeColor="accent1" w:themeShade="BF"/>
        </w:rPr>
      </w:pPr>
      <w:r w:rsidRPr="001F37BF">
        <w:rPr>
          <w:color w:val="000000" w:themeColor="text1"/>
        </w:rPr>
        <w:t xml:space="preserve">През отчетния период по общинските бюджети са постъпили 30,6 млн. лв. приходи от </w:t>
      </w:r>
      <w:r w:rsidRPr="001F37BF">
        <w:rPr>
          <w:i/>
          <w:color w:val="000000" w:themeColor="text1"/>
        </w:rPr>
        <w:t>помощи и дарения</w:t>
      </w:r>
      <w:r w:rsidRPr="001F37BF">
        <w:rPr>
          <w:color w:val="000000" w:themeColor="text1"/>
        </w:rPr>
        <w:t xml:space="preserve">, което е 117,4 % спрямо разчетените за годината 26,1 млн. лева. </w:t>
      </w:r>
    </w:p>
    <w:p w14:paraId="2A6FCD19" w14:textId="77777777" w:rsidR="00CD77A6" w:rsidRPr="001F37BF" w:rsidRDefault="00CD77A6" w:rsidP="00CD77A6">
      <w:pPr>
        <w:numPr>
          <w:ilvl w:val="0"/>
          <w:numId w:val="28"/>
        </w:numPr>
        <w:tabs>
          <w:tab w:val="num" w:pos="540"/>
        </w:tabs>
        <w:spacing w:before="240" w:line="276" w:lineRule="auto"/>
        <w:ind w:left="714" w:hanging="147"/>
        <w:jc w:val="both"/>
        <w:rPr>
          <w:b/>
          <w:color w:val="000000" w:themeColor="text1"/>
        </w:rPr>
      </w:pPr>
      <w:r w:rsidRPr="001F37BF">
        <w:rPr>
          <w:b/>
          <w:color w:val="000000" w:themeColor="text1"/>
        </w:rPr>
        <w:t>Разходи</w:t>
      </w:r>
    </w:p>
    <w:p w14:paraId="1E1BF9CC" w14:textId="4BFBAE0C" w:rsidR="00CD77A6" w:rsidRPr="00996D8D" w:rsidRDefault="00307B17" w:rsidP="00CD77A6">
      <w:pPr>
        <w:ind w:firstLine="567"/>
        <w:jc w:val="both"/>
        <w:rPr>
          <w:color w:val="365F91" w:themeColor="accent1" w:themeShade="BF"/>
        </w:rPr>
      </w:pPr>
      <w:r w:rsidRPr="001F37BF">
        <w:rPr>
          <w:color w:val="000000" w:themeColor="text1"/>
        </w:rPr>
        <w:t>Към 31.12. 2023 г. общините са отчели общо разходи в размер на 12</w:t>
      </w:r>
      <w:r w:rsidRPr="001F37BF">
        <w:rPr>
          <w:color w:val="000000" w:themeColor="text1"/>
          <w:lang w:val="en-US"/>
        </w:rPr>
        <w:t> </w:t>
      </w:r>
      <w:r w:rsidRPr="001F37BF">
        <w:rPr>
          <w:color w:val="000000" w:themeColor="text1"/>
        </w:rPr>
        <w:t xml:space="preserve">534,0 млн. лв., </w:t>
      </w:r>
      <w:r>
        <w:rPr>
          <w:color w:val="000000" w:themeColor="text1"/>
        </w:rPr>
        <w:t>включително за сметка на предоставени допълнителни трансфери главно от държавния бюджет, и</w:t>
      </w:r>
      <w:r w:rsidRPr="001F37BF">
        <w:rPr>
          <w:color w:val="000000" w:themeColor="text1"/>
        </w:rPr>
        <w:t xml:space="preserve"> представляват 132,3 % спрямо разчетите по ЗДБРБ за 2023 година</w:t>
      </w:r>
      <w:r w:rsidR="00CD77A6" w:rsidRPr="001F37BF">
        <w:rPr>
          <w:color w:val="000000" w:themeColor="text1"/>
        </w:rPr>
        <w:t>.</w:t>
      </w:r>
    </w:p>
    <w:p w14:paraId="324AC60D" w14:textId="44CC86FA" w:rsidR="00CD77A6" w:rsidRPr="00996D8D" w:rsidRDefault="00CD77A6" w:rsidP="00CD77A6">
      <w:pPr>
        <w:ind w:firstLine="567"/>
        <w:jc w:val="both"/>
        <w:rPr>
          <w:color w:val="365F91" w:themeColor="accent1" w:themeShade="BF"/>
          <w:lang w:eastAsia="bg-BG"/>
        </w:rPr>
      </w:pPr>
      <w:r w:rsidRPr="003C6318">
        <w:rPr>
          <w:i/>
          <w:color w:val="000000" w:themeColor="text1"/>
        </w:rPr>
        <w:t>Нелихвените разходи</w:t>
      </w:r>
      <w:r w:rsidRPr="003C6318">
        <w:rPr>
          <w:color w:val="000000" w:themeColor="text1"/>
        </w:rPr>
        <w:t xml:space="preserve"> възлизат на 1</w:t>
      </w:r>
      <w:r w:rsidRPr="003C6318">
        <w:rPr>
          <w:color w:val="000000" w:themeColor="text1"/>
          <w:lang w:val="en-US"/>
        </w:rPr>
        <w:t>2</w:t>
      </w:r>
      <w:r w:rsidRPr="003C6318">
        <w:rPr>
          <w:color w:val="000000" w:themeColor="text1"/>
        </w:rPr>
        <w:t xml:space="preserve"> </w:t>
      </w:r>
      <w:r w:rsidRPr="003C6318">
        <w:rPr>
          <w:color w:val="000000" w:themeColor="text1"/>
          <w:lang w:val="en-US"/>
        </w:rPr>
        <w:t>488</w:t>
      </w:r>
      <w:r w:rsidRPr="003C6318">
        <w:rPr>
          <w:color w:val="000000" w:themeColor="text1"/>
        </w:rPr>
        <w:t>,2 млн. лв. или 1</w:t>
      </w:r>
      <w:r w:rsidRPr="003C6318">
        <w:rPr>
          <w:color w:val="000000" w:themeColor="text1"/>
          <w:lang w:val="en-US"/>
        </w:rPr>
        <w:t>32</w:t>
      </w:r>
      <w:r w:rsidRPr="003C6318">
        <w:rPr>
          <w:color w:val="000000" w:themeColor="text1"/>
        </w:rPr>
        <w:t>,4 % спрямо годишния разчет. Разходите за персонал (заплати и възнаграждения, други възнаграждения и плащания за персонала и осигурителни вноски) са в размер на 6 848,0 млн. лв.</w:t>
      </w:r>
      <w:r w:rsidRPr="003C6318">
        <w:rPr>
          <w:color w:val="000000" w:themeColor="text1"/>
          <w:lang w:val="en-US"/>
        </w:rPr>
        <w:t xml:space="preserve"> </w:t>
      </w:r>
      <w:r w:rsidRPr="003C6318">
        <w:rPr>
          <w:color w:val="000000" w:themeColor="text1"/>
        </w:rPr>
        <w:t xml:space="preserve">или 114,9 % спрямо планираните за 2023 г. Разходите за издръжка </w:t>
      </w:r>
      <w:r w:rsidRPr="003C6318">
        <w:rPr>
          <w:bCs/>
          <w:color w:val="000000" w:themeColor="text1"/>
        </w:rPr>
        <w:t>(вкл. разходи за членски внос и участие в нетърговски организации и дейности, платени данъци, такси и админи</w:t>
      </w:r>
      <w:r w:rsidRPr="007E7680">
        <w:rPr>
          <w:bCs/>
          <w:color w:val="000000" w:themeColor="text1"/>
        </w:rPr>
        <w:t>стративни санкции)</w:t>
      </w:r>
      <w:r w:rsidRPr="007E7680">
        <w:rPr>
          <w:color w:val="000000" w:themeColor="text1"/>
        </w:rPr>
        <w:t xml:space="preserve"> са в размер на</w:t>
      </w:r>
      <w:r w:rsidRPr="007E7680">
        <w:rPr>
          <w:color w:val="000000" w:themeColor="text1"/>
          <w:lang w:val="en-US"/>
        </w:rPr>
        <w:t> </w:t>
      </w:r>
      <w:r w:rsidRPr="007E7680">
        <w:rPr>
          <w:color w:val="000000" w:themeColor="text1"/>
        </w:rPr>
        <w:t>2 </w:t>
      </w:r>
      <w:r w:rsidRPr="007E7680">
        <w:rPr>
          <w:color w:val="000000" w:themeColor="text1"/>
          <w:lang w:val="en-US"/>
        </w:rPr>
        <w:t>926,0</w:t>
      </w:r>
      <w:r w:rsidRPr="007E7680">
        <w:rPr>
          <w:color w:val="000000" w:themeColor="text1"/>
          <w:lang w:eastAsia="bg-BG"/>
        </w:rPr>
        <w:t xml:space="preserve"> млн. лв. или 1</w:t>
      </w:r>
      <w:r w:rsidRPr="007E7680">
        <w:rPr>
          <w:color w:val="000000" w:themeColor="text1"/>
          <w:lang w:val="en-US" w:eastAsia="bg-BG"/>
        </w:rPr>
        <w:t>43</w:t>
      </w:r>
      <w:r w:rsidRPr="007E7680">
        <w:rPr>
          <w:color w:val="000000" w:themeColor="text1"/>
          <w:lang w:eastAsia="bg-BG"/>
        </w:rPr>
        <w:t xml:space="preserve">,6 % спрямо годишния разчет. Разходите за субсидии са в размер на </w:t>
      </w:r>
      <w:r w:rsidRPr="007E7680">
        <w:rPr>
          <w:color w:val="000000" w:themeColor="text1"/>
          <w:lang w:val="en-US" w:eastAsia="bg-BG"/>
        </w:rPr>
        <w:t>589,0</w:t>
      </w:r>
      <w:r w:rsidRPr="007E7680">
        <w:rPr>
          <w:color w:val="000000" w:themeColor="text1"/>
          <w:lang w:eastAsia="bg-BG"/>
        </w:rPr>
        <w:t xml:space="preserve"> млн. лв. (2</w:t>
      </w:r>
      <w:r w:rsidRPr="007E7680">
        <w:rPr>
          <w:color w:val="000000" w:themeColor="text1"/>
          <w:lang w:val="en-US" w:eastAsia="bg-BG"/>
        </w:rPr>
        <w:t>41</w:t>
      </w:r>
      <w:r w:rsidRPr="007E7680">
        <w:rPr>
          <w:color w:val="000000" w:themeColor="text1"/>
          <w:lang w:eastAsia="bg-BG"/>
        </w:rPr>
        <w:t>,4 % спрямо годишния разчет).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 (отчитат се в местните дейности).</w:t>
      </w:r>
      <w:r w:rsidRPr="007E7680">
        <w:rPr>
          <w:bCs/>
          <w:color w:val="000000" w:themeColor="text1"/>
          <w:lang w:eastAsia="bg-BG"/>
        </w:rPr>
        <w:t xml:space="preserve"> </w:t>
      </w:r>
      <w:r w:rsidRPr="007E7680">
        <w:rPr>
          <w:bCs/>
          <w:color w:val="000000" w:themeColor="text1"/>
        </w:rPr>
        <w:t>Социалните разходи (</w:t>
      </w:r>
      <w:r w:rsidRPr="007E7680">
        <w:rPr>
          <w:color w:val="000000" w:themeColor="text1"/>
        </w:rPr>
        <w:t xml:space="preserve">текущи трансфери, обезщетения и помощи за домакинствата, </w:t>
      </w:r>
      <w:r w:rsidRPr="007E7680">
        <w:rPr>
          <w:bCs/>
          <w:color w:val="000000" w:themeColor="text1"/>
        </w:rPr>
        <w:t>вкл. разходите за стипендии)</w:t>
      </w:r>
      <w:r w:rsidRPr="007E7680">
        <w:rPr>
          <w:color w:val="000000" w:themeColor="text1"/>
        </w:rPr>
        <w:t xml:space="preserve"> са в размер на 244,1 млн. лв., което е 1</w:t>
      </w:r>
      <w:r w:rsidRPr="007E7680">
        <w:rPr>
          <w:color w:val="000000" w:themeColor="text1"/>
          <w:lang w:val="en-US"/>
        </w:rPr>
        <w:t>92</w:t>
      </w:r>
      <w:r w:rsidRPr="007E7680">
        <w:rPr>
          <w:color w:val="000000" w:themeColor="text1"/>
        </w:rPr>
        <w:t xml:space="preserve">,0 % </w:t>
      </w:r>
      <w:r w:rsidR="003773D1">
        <w:rPr>
          <w:color w:val="000000" w:themeColor="text1"/>
        </w:rPr>
        <w:t xml:space="preserve">спрямо </w:t>
      </w:r>
      <w:r w:rsidRPr="007E7680">
        <w:rPr>
          <w:color w:val="000000" w:themeColor="text1"/>
        </w:rPr>
        <w:t>разчетите към ЗДБРБ за 2023 година.</w:t>
      </w:r>
    </w:p>
    <w:p w14:paraId="799CAA60" w14:textId="77777777" w:rsidR="00CD77A6" w:rsidRPr="00996D8D" w:rsidRDefault="00CD77A6" w:rsidP="00CD77A6">
      <w:pPr>
        <w:widowControl w:val="0"/>
        <w:tabs>
          <w:tab w:val="center" w:pos="4153"/>
          <w:tab w:val="right" w:pos="8306"/>
        </w:tabs>
        <w:ind w:firstLine="680"/>
        <w:jc w:val="both"/>
        <w:rPr>
          <w:color w:val="365F91" w:themeColor="accent1" w:themeShade="BF"/>
        </w:rPr>
      </w:pPr>
      <w:r w:rsidRPr="007E7680">
        <w:rPr>
          <w:color w:val="000000" w:themeColor="text1"/>
          <w:lang w:eastAsia="bg-BG"/>
        </w:rPr>
        <w:t xml:space="preserve">Капиталовите разходи са в размер </w:t>
      </w:r>
      <w:r w:rsidRPr="00750B13">
        <w:rPr>
          <w:color w:val="000000" w:themeColor="text1"/>
          <w:lang w:eastAsia="bg-BG"/>
        </w:rPr>
        <w:t xml:space="preserve">на </w:t>
      </w:r>
      <w:r w:rsidRPr="00750B13">
        <w:rPr>
          <w:color w:val="000000" w:themeColor="text1"/>
          <w:lang w:val="ru-RU" w:eastAsia="bg-BG"/>
        </w:rPr>
        <w:t>1 </w:t>
      </w:r>
      <w:r w:rsidRPr="00750B13">
        <w:rPr>
          <w:color w:val="000000" w:themeColor="text1"/>
          <w:lang w:val="en-US" w:eastAsia="bg-BG"/>
        </w:rPr>
        <w:t>881,0</w:t>
      </w:r>
      <w:r w:rsidRPr="00750B13">
        <w:rPr>
          <w:color w:val="000000" w:themeColor="text1"/>
          <w:lang w:eastAsia="bg-BG"/>
        </w:rPr>
        <w:t xml:space="preserve"> млн. лв. или </w:t>
      </w:r>
      <w:r w:rsidRPr="001A3D16">
        <w:rPr>
          <w:color w:val="000000" w:themeColor="text1"/>
          <w:lang w:eastAsia="bg-BG"/>
        </w:rPr>
        <w:t>1</w:t>
      </w:r>
      <w:r w:rsidRPr="001A3D16">
        <w:rPr>
          <w:color w:val="000000" w:themeColor="text1"/>
          <w:lang w:val="en-US" w:eastAsia="bg-BG"/>
        </w:rPr>
        <w:t>76</w:t>
      </w:r>
      <w:r w:rsidRPr="001A3D16">
        <w:rPr>
          <w:color w:val="000000" w:themeColor="text1"/>
          <w:lang w:eastAsia="bg-BG"/>
        </w:rPr>
        <w:t>,8 % спрямо разчетите към ЗДБРБ за 2023 г.</w:t>
      </w:r>
      <w:r w:rsidRPr="001A3D16">
        <w:rPr>
          <w:color w:val="000000" w:themeColor="text1"/>
        </w:rPr>
        <w:t xml:space="preserve"> и формират ръст от </w:t>
      </w:r>
      <w:r w:rsidRPr="001A3D16">
        <w:rPr>
          <w:color w:val="000000" w:themeColor="text1"/>
          <w:lang w:val="ru-RU"/>
        </w:rPr>
        <w:t>48</w:t>
      </w:r>
      <w:r w:rsidRPr="001A3D16">
        <w:rPr>
          <w:color w:val="000000" w:themeColor="text1"/>
        </w:rPr>
        <w:t>,6 % спрямо отчетените за 2023 г</w:t>
      </w:r>
      <w:r w:rsidRPr="001A3D16">
        <w:rPr>
          <w:color w:val="000000" w:themeColor="text1"/>
          <w:lang w:val="ru-RU"/>
        </w:rPr>
        <w:t>.</w:t>
      </w:r>
      <w:r w:rsidRPr="001A3D16">
        <w:rPr>
          <w:color w:val="000000" w:themeColor="text1"/>
        </w:rPr>
        <w:t xml:space="preserve"> </w:t>
      </w:r>
    </w:p>
    <w:p w14:paraId="0A4113EC" w14:textId="6AF6F0DF" w:rsidR="00CD77A6" w:rsidRPr="00996D8D" w:rsidRDefault="00CD77A6" w:rsidP="00CD77A6">
      <w:pPr>
        <w:ind w:firstLine="567"/>
        <w:jc w:val="both"/>
        <w:rPr>
          <w:color w:val="365F91" w:themeColor="accent1" w:themeShade="BF"/>
        </w:rPr>
      </w:pPr>
      <w:r w:rsidRPr="00901316">
        <w:rPr>
          <w:i/>
          <w:color w:val="000000" w:themeColor="text1"/>
        </w:rPr>
        <w:t>Разходите за лихви</w:t>
      </w:r>
      <w:r w:rsidRPr="00901316">
        <w:rPr>
          <w:color w:val="000000" w:themeColor="text1"/>
        </w:rPr>
        <w:t xml:space="preserve"> възлизат на </w:t>
      </w:r>
      <w:r w:rsidRPr="00901316">
        <w:rPr>
          <w:color w:val="000000" w:themeColor="text1"/>
          <w:lang w:val="ru-RU"/>
        </w:rPr>
        <w:t>45</w:t>
      </w:r>
      <w:r w:rsidRPr="00901316">
        <w:rPr>
          <w:color w:val="000000" w:themeColor="text1"/>
        </w:rPr>
        <w:t xml:space="preserve">,8 млн. лв. и са </w:t>
      </w:r>
      <w:r w:rsidRPr="00901316">
        <w:rPr>
          <w:color w:val="000000" w:themeColor="text1"/>
          <w:lang w:val="ru-RU"/>
        </w:rPr>
        <w:t>1</w:t>
      </w:r>
      <w:r w:rsidRPr="00901316">
        <w:rPr>
          <w:color w:val="000000" w:themeColor="text1"/>
          <w:lang w:val="en-US"/>
        </w:rPr>
        <w:t>15</w:t>
      </w:r>
      <w:r w:rsidRPr="00901316">
        <w:rPr>
          <w:color w:val="000000" w:themeColor="text1"/>
        </w:rPr>
        <w:t>,</w:t>
      </w:r>
      <w:r w:rsidRPr="00901316">
        <w:rPr>
          <w:color w:val="000000" w:themeColor="text1"/>
          <w:lang w:val="ru-RU"/>
        </w:rPr>
        <w:t>4</w:t>
      </w:r>
      <w:r w:rsidRPr="00901316">
        <w:rPr>
          <w:color w:val="000000" w:themeColor="text1"/>
        </w:rPr>
        <w:t xml:space="preserve"> % спрямо разчетите за 2023</w:t>
      </w:r>
      <w:r>
        <w:rPr>
          <w:color w:val="000000" w:themeColor="text1"/>
          <w:lang w:val="en-US"/>
        </w:rPr>
        <w:t> </w:t>
      </w:r>
      <w:r w:rsidRPr="00901316">
        <w:rPr>
          <w:color w:val="000000" w:themeColor="text1"/>
        </w:rPr>
        <w:t xml:space="preserve">г. </w:t>
      </w:r>
      <w:r w:rsidR="00AC14E0">
        <w:t>За</w:t>
      </w:r>
      <w:r w:rsidRPr="00E241B7">
        <w:t xml:space="preserve"> 2022 г. те са били </w:t>
      </w:r>
      <w:r w:rsidRPr="00E241B7">
        <w:rPr>
          <w:lang w:val="en-US"/>
        </w:rPr>
        <w:t>35</w:t>
      </w:r>
      <w:r w:rsidRPr="00E241B7">
        <w:t>,</w:t>
      </w:r>
      <w:r w:rsidRPr="00E241B7">
        <w:rPr>
          <w:lang w:val="en-US"/>
        </w:rPr>
        <w:t>4</w:t>
      </w:r>
      <w:r w:rsidRPr="00E241B7">
        <w:t xml:space="preserve"> млн. лв. или с 10,</w:t>
      </w:r>
      <w:r w:rsidRPr="00E241B7">
        <w:rPr>
          <w:lang w:val="en-US"/>
        </w:rPr>
        <w:t>4</w:t>
      </w:r>
      <w:r w:rsidRPr="00E241B7">
        <w:t xml:space="preserve"> млн. лв. по-</w:t>
      </w:r>
      <w:r w:rsidRPr="00C54901">
        <w:t xml:space="preserve">малко. Този по-голям размер през 2023 г. е в резултат на отчетените в повече лихви по заеми към </w:t>
      </w:r>
      <w:r w:rsidRPr="00901316">
        <w:t>местни</w:t>
      </w:r>
      <w:r w:rsidRPr="00C54901">
        <w:t xml:space="preserve"> лица</w:t>
      </w:r>
      <w:r>
        <w:rPr>
          <w:lang w:val="en-US"/>
        </w:rPr>
        <w:t>.</w:t>
      </w:r>
      <w:r w:rsidRPr="00996D8D">
        <w:rPr>
          <w:color w:val="365F91" w:themeColor="accent1" w:themeShade="BF"/>
        </w:rPr>
        <w:t xml:space="preserve"> </w:t>
      </w:r>
      <w:r w:rsidRPr="00C54901">
        <w:t>Лихвените плащания към  31.12.2023 г. по заеми от чужбина са в размер на 16,8 млн. лв. (с 0,6</w:t>
      </w:r>
      <w:r w:rsidR="007F5FB1">
        <w:t> </w:t>
      </w:r>
      <w:r w:rsidRPr="00C54901">
        <w:t xml:space="preserve">млн. лв. повече в сравнение </w:t>
      </w:r>
      <w:r w:rsidR="00696F0E">
        <w:t>с предходната</w:t>
      </w:r>
      <w:r w:rsidRPr="00C54901">
        <w:t xml:space="preserve"> година). По облигационни заеми платените лихви са 1,5 млн. лв. (с 0,2 млн. лв. по-малко от 2022</w:t>
      </w:r>
      <w:r>
        <w:rPr>
          <w:lang w:val="en-US"/>
        </w:rPr>
        <w:t> </w:t>
      </w:r>
      <w:r w:rsidRPr="00C54901">
        <w:t>г.), а по други вътрешни заеми към местни лица (банкови кредити, заеми към „ФЛАГ“ ЕАД и към др. местни лица) са 22,6 млн. лв. (с 10,3</w:t>
      </w:r>
      <w:r w:rsidR="007F5FB1">
        <w:t> </w:t>
      </w:r>
      <w:r w:rsidRPr="00C54901">
        <w:t>млн. лв. повече от 2022 г.). Отчетените от общините др. разходи за лихви са в размер на 4,8</w:t>
      </w:r>
      <w:r w:rsidR="007F5FB1">
        <w:t> </w:t>
      </w:r>
      <w:r w:rsidRPr="00C54901">
        <w:t>млн. лв. (в т.ч. 0,3 млн. лв. по заеми към централния бюджет и към др. бюджетни организации; 0,3 млн. лв. са отчетените лихви по финансов лизинг и търговски кредит, а отчетените др. лихвени плащания – по изпълнителни листове, за забавено изпълнение по сключени договори и др.</w:t>
      </w:r>
      <w:r w:rsidRPr="00C54901">
        <w:rPr>
          <w:lang w:val="en-US"/>
        </w:rPr>
        <w:t>,</w:t>
      </w:r>
      <w:r w:rsidRPr="00C54901">
        <w:t xml:space="preserve"> са в размер на 4,3 млн. лв.).</w:t>
      </w:r>
    </w:p>
    <w:p w14:paraId="7DA5FFB3" w14:textId="77777777" w:rsidR="00CD77A6" w:rsidRPr="00996D8D" w:rsidRDefault="00CD77A6" w:rsidP="00CD77A6">
      <w:pPr>
        <w:tabs>
          <w:tab w:val="center" w:pos="4153"/>
          <w:tab w:val="right" w:pos="8306"/>
        </w:tabs>
        <w:ind w:firstLine="567"/>
        <w:jc w:val="both"/>
        <w:rPr>
          <w:color w:val="365F91" w:themeColor="accent1" w:themeShade="BF"/>
        </w:rPr>
      </w:pPr>
      <w:r w:rsidRPr="00901316">
        <w:rPr>
          <w:color w:val="000000" w:themeColor="text1"/>
        </w:rPr>
        <w:t>Общият размер на отчетените разходи за дофинансиране на делегираните от държавата дейности с местни приходи е 284,7 млн. лева.</w:t>
      </w:r>
    </w:p>
    <w:p w14:paraId="572FAA7D" w14:textId="77777777" w:rsidR="00CD77A6" w:rsidRPr="00901316" w:rsidRDefault="00CD77A6" w:rsidP="00110036">
      <w:pPr>
        <w:numPr>
          <w:ilvl w:val="0"/>
          <w:numId w:val="28"/>
        </w:numPr>
        <w:tabs>
          <w:tab w:val="num" w:pos="540"/>
        </w:tabs>
        <w:spacing w:before="240" w:line="276" w:lineRule="auto"/>
        <w:ind w:left="714" w:hanging="147"/>
        <w:jc w:val="both"/>
        <w:rPr>
          <w:b/>
          <w:color w:val="000000" w:themeColor="text1"/>
        </w:rPr>
      </w:pPr>
      <w:r w:rsidRPr="00901316">
        <w:rPr>
          <w:b/>
          <w:color w:val="000000" w:themeColor="text1"/>
        </w:rPr>
        <w:t>Финансиране</w:t>
      </w:r>
    </w:p>
    <w:p w14:paraId="5AAC58AC" w14:textId="77777777" w:rsidR="00CD77A6" w:rsidRPr="00901316" w:rsidRDefault="00CD77A6" w:rsidP="00CD77A6">
      <w:pPr>
        <w:pStyle w:val="BodyText"/>
        <w:widowControl w:val="0"/>
        <w:ind w:firstLine="567"/>
        <w:rPr>
          <w:color w:val="000000" w:themeColor="text1"/>
        </w:rPr>
      </w:pPr>
      <w:r w:rsidRPr="00901316">
        <w:rPr>
          <w:color w:val="000000" w:themeColor="text1"/>
        </w:rPr>
        <w:t>От началото на годината до 31.12.2023 г. по общинските бюджети са получени 58,7 млн. лв. заемни средства от договори с чуждестранни кредитори. Отчетени са от Столична община по проекти, свързани с транспортната свързаност и достъпна среда и изграждане и реконструкция на основни пътни артерии в град София. Изплатените главници от общинските бюджети по външните заеми за същия период са в размер на 44,5 млн. лв. (от Столична община са 35,4 млн. лв., община Бургас – 2 млн. лв.; Варна – 3,7 млн. лв., Пловдив – 3,1 млн. лв. и от община Ловеч - 0,3 млн. лв.).</w:t>
      </w:r>
    </w:p>
    <w:p w14:paraId="20D2A178" w14:textId="353632F6" w:rsidR="00CD77A6" w:rsidRPr="00996D8D" w:rsidRDefault="009760AA" w:rsidP="00CD77A6">
      <w:pPr>
        <w:pStyle w:val="BodyText"/>
        <w:widowControl w:val="0"/>
        <w:ind w:firstLine="567"/>
        <w:rPr>
          <w:color w:val="365F91" w:themeColor="accent1" w:themeShade="BF"/>
        </w:rPr>
      </w:pPr>
      <w:r w:rsidRPr="005A33E2">
        <w:t>За отчетния период получените заемни средства от банки в страната са в размер на 228,3</w:t>
      </w:r>
      <w:r>
        <w:t> </w:t>
      </w:r>
      <w:r w:rsidRPr="005A33E2">
        <w:t>млн. лв., а от други местни лица са 306,3 млн. лв. (в т.ч. 1</w:t>
      </w:r>
      <w:r>
        <w:t>85</w:t>
      </w:r>
      <w:r w:rsidRPr="005A33E2">
        <w:t>,</w:t>
      </w:r>
      <w:r>
        <w:t>1</w:t>
      </w:r>
      <w:r w:rsidRPr="005A33E2">
        <w:t xml:space="preserve"> млн. лв. от „ФЛАГ“ ЕАД</w:t>
      </w:r>
      <w:r>
        <w:t xml:space="preserve"> </w:t>
      </w:r>
      <w:r>
        <w:rPr>
          <w:lang w:val="en-US"/>
        </w:rPr>
        <w:t xml:space="preserve"> </w:t>
      </w:r>
      <w:r>
        <w:t xml:space="preserve">и 121,2 млн. лв. </w:t>
      </w:r>
      <w:r w:rsidRPr="008D531F">
        <w:t>от фин</w:t>
      </w:r>
      <w:r>
        <w:t>ансови</w:t>
      </w:r>
      <w:r w:rsidRPr="008D531F">
        <w:t xml:space="preserve"> посредници, избрани от "Фонд мениджър на финансови инструменти в България"</w:t>
      </w:r>
      <w:r>
        <w:t xml:space="preserve"> </w:t>
      </w:r>
      <w:r w:rsidRPr="008D531F">
        <w:t>за финансиране на проекти чрез финансови инструменти (</w:t>
      </w:r>
      <w:r w:rsidR="00C473B2">
        <w:t>„</w:t>
      </w:r>
      <w:r w:rsidR="005F2ED8" w:rsidRPr="005F2ED8">
        <w:t>Фонд за устойчиво градско развитие</w:t>
      </w:r>
      <w:r w:rsidR="00C473B2">
        <w:t>“</w:t>
      </w:r>
      <w:r w:rsidR="0096457C">
        <w:t xml:space="preserve"> </w:t>
      </w:r>
      <w:r w:rsidR="0096457C" w:rsidRPr="005A33E2">
        <w:t>ЕАД</w:t>
      </w:r>
      <w:r w:rsidR="002265B3">
        <w:t xml:space="preserve">, </w:t>
      </w:r>
      <w:r>
        <w:t>„</w:t>
      </w:r>
      <w:r w:rsidR="00C473B2" w:rsidRPr="00C473B2">
        <w:t>Регионален фонд за градско развитие</w:t>
      </w:r>
      <w:r>
        <w:t>“ АД</w:t>
      </w:r>
      <w:r w:rsidRPr="008D531F">
        <w:t xml:space="preserve">, </w:t>
      </w:r>
      <w:r>
        <w:t>ДЗЗД „</w:t>
      </w:r>
      <w:r w:rsidR="00DC6F40" w:rsidRPr="00DC6F40">
        <w:t>Фонд за устойчиви градове</w:t>
      </w:r>
      <w:r>
        <w:t>“</w:t>
      </w:r>
      <w:r w:rsidRPr="005A33E2">
        <w:t>) или общо получените заемни средства са 534,6 млн. лв.</w:t>
      </w:r>
      <w:r w:rsidR="00CD77A6" w:rsidRPr="005A33E2">
        <w:t xml:space="preserve"> </w:t>
      </w:r>
      <w:r w:rsidR="00CD77A6" w:rsidRPr="0078535F">
        <w:t>Изплатените главници по банкови заеми от страната са 82,</w:t>
      </w:r>
      <w:r w:rsidR="00CD77A6">
        <w:t>6</w:t>
      </w:r>
      <w:r w:rsidR="00CD77A6" w:rsidRPr="0078535F">
        <w:t xml:space="preserve"> млн. лв., а по заеми от др. лица са 95,6 млн. лв. (в т.ч. 91,0</w:t>
      </w:r>
      <w:r w:rsidR="007F5FB1">
        <w:t> </w:t>
      </w:r>
      <w:r w:rsidR="00CD77A6" w:rsidRPr="0078535F">
        <w:t xml:space="preserve">млн. лв. към „ФЛАГ“ ЕАД) или общо платените главници са в размер на 178,2 млн. лв. </w:t>
      </w:r>
      <w:r w:rsidR="00CD77A6" w:rsidRPr="0081591C">
        <w:t xml:space="preserve">Погашенията за периода по заемите от страната е по-малък от получените средства, поради което нетният размер на операциите по тези заеми е положителен (356,4 млн. </w:t>
      </w:r>
      <w:r w:rsidR="00CD77A6" w:rsidRPr="00E660B8">
        <w:t>лв.</w:t>
      </w:r>
      <w:r w:rsidR="008B7754" w:rsidRPr="0081591C">
        <w:t>)</w:t>
      </w:r>
      <w:r w:rsidR="008B7754">
        <w:t>.</w:t>
      </w:r>
      <w:r w:rsidR="00CD77A6" w:rsidRPr="00E660B8">
        <w:t xml:space="preserve"> За същия период на 2022 г, получените заемни средства от банки в страната и др. местни лица също са били повече от погашенията, но нетният положителен размер по тези заеми е бил значително по-малък (53,0</w:t>
      </w:r>
      <w:r w:rsidR="007F5FB1">
        <w:t> </w:t>
      </w:r>
      <w:r w:rsidR="00CD77A6" w:rsidRPr="00E660B8">
        <w:t xml:space="preserve">млн. лв.). Получените заеми </w:t>
      </w:r>
      <w:r w:rsidR="00CD77A6">
        <w:t xml:space="preserve">от местни лица </w:t>
      </w:r>
      <w:r w:rsidR="00CD77A6" w:rsidRPr="00E660B8">
        <w:t xml:space="preserve">през 2023 г. са два пъти </w:t>
      </w:r>
      <w:r w:rsidR="00CD77A6">
        <w:t xml:space="preserve">повече </w:t>
      </w:r>
      <w:r w:rsidR="00CD77A6" w:rsidRPr="00E660B8">
        <w:t>от получените през 2022 г.</w:t>
      </w:r>
      <w:r w:rsidR="00CD77A6">
        <w:t xml:space="preserve"> (тогава са отчетени 256,3 млн. лв.)</w:t>
      </w:r>
      <w:r w:rsidR="00CD77A6" w:rsidRPr="00E660B8">
        <w:t>, на което се дължи и по-високия размер на платените разходи за лихви по тези заеми.</w:t>
      </w:r>
      <w:r w:rsidR="00CD77A6" w:rsidRPr="00996D8D">
        <w:rPr>
          <w:color w:val="365F91" w:themeColor="accent1" w:themeShade="BF"/>
        </w:rPr>
        <w:t xml:space="preserve">  </w:t>
      </w:r>
    </w:p>
    <w:p w14:paraId="4B892A0C" w14:textId="77777777" w:rsidR="00CD77A6" w:rsidRPr="00901316" w:rsidRDefault="00CD77A6" w:rsidP="00CD77A6">
      <w:pPr>
        <w:pStyle w:val="BodyText"/>
        <w:ind w:firstLine="567"/>
        <w:rPr>
          <w:rFonts w:eastAsia="Calibri"/>
          <w:color w:val="000000" w:themeColor="text1"/>
        </w:rPr>
      </w:pPr>
      <w:r w:rsidRPr="00901316">
        <w:rPr>
          <w:rFonts w:eastAsia="Calibri"/>
          <w:color w:val="000000" w:themeColor="text1"/>
        </w:rPr>
        <w:t xml:space="preserve">Погашенията по емитирани през предходни периоди общински ценни книжа са в размер на 28,3 млн. лв. и са отчетени от 8 общини. За отчетния период няма емитиран нов дълг. </w:t>
      </w:r>
    </w:p>
    <w:p w14:paraId="681EE3B3" w14:textId="77777777" w:rsidR="00CD77A6" w:rsidRPr="00996D8D" w:rsidRDefault="00CD77A6" w:rsidP="00CD77A6">
      <w:pPr>
        <w:pStyle w:val="BodyText"/>
        <w:widowControl w:val="0"/>
        <w:ind w:firstLine="567"/>
        <w:rPr>
          <w:color w:val="365F91" w:themeColor="accent1" w:themeShade="BF"/>
        </w:rPr>
      </w:pPr>
      <w:r w:rsidRPr="00996D8D">
        <w:rPr>
          <w:rFonts w:eastAsia="Calibri"/>
          <w:color w:val="365F91" w:themeColor="accent1" w:themeShade="BF"/>
        </w:rPr>
        <w:t xml:space="preserve"> </w:t>
      </w:r>
      <w:r w:rsidRPr="00996D8D">
        <w:rPr>
          <w:color w:val="365F91" w:themeColor="accent1" w:themeShade="BF"/>
        </w:rPr>
        <w:t xml:space="preserve"> </w:t>
      </w:r>
      <w:r w:rsidRPr="00901316">
        <w:rPr>
          <w:rFonts w:eastAsia="Calibri"/>
          <w:color w:val="000000" w:themeColor="text1"/>
        </w:rPr>
        <w:t>Отчетените средства под формата на друго финансиране /нето/ по общинските бюджети към 31.12.2023 г. е (-37,6)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(-1,5) млн. лева.</w:t>
      </w:r>
    </w:p>
    <w:p w14:paraId="041245F6" w14:textId="77777777" w:rsidR="00CD77A6" w:rsidRPr="00901316" w:rsidRDefault="00CD77A6" w:rsidP="00CD77A6">
      <w:pPr>
        <w:pStyle w:val="BodyText"/>
        <w:ind w:firstLine="567"/>
        <w:rPr>
          <w:rFonts w:eastAsia="Calibri"/>
          <w:color w:val="000000" w:themeColor="text1"/>
        </w:rPr>
      </w:pPr>
      <w:r w:rsidRPr="00901316">
        <w:rPr>
          <w:rFonts w:eastAsia="Calibri"/>
          <w:color w:val="000000" w:themeColor="text1"/>
        </w:rPr>
        <w:t>Нетният размер на събраните средства и извършени плащания от общините за сметка на други бюджети, сметки и фондове е в размер на (-110,3) млн. лв.</w:t>
      </w:r>
    </w:p>
    <w:p w14:paraId="4C12B27A" w14:textId="77777777" w:rsidR="00CD77A6" w:rsidRPr="00901316" w:rsidRDefault="00CD77A6" w:rsidP="00CD77A6">
      <w:pPr>
        <w:pStyle w:val="BodyText"/>
        <w:ind w:firstLine="567"/>
        <w:rPr>
          <w:rFonts w:eastAsia="Calibri"/>
          <w:color w:val="000000" w:themeColor="text1"/>
        </w:rPr>
      </w:pPr>
      <w:r w:rsidRPr="00901316">
        <w:rPr>
          <w:rFonts w:eastAsia="Calibri"/>
          <w:color w:val="000000" w:themeColor="text1"/>
        </w:rPr>
        <w:t xml:space="preserve">Към 31.12.2023 г. отчетеният от общините нетен размер на операциите по придобиване на дялове, акции и съучастия е в размер на (-6,6) млн. лв. </w:t>
      </w:r>
    </w:p>
    <w:p w14:paraId="0455D06F" w14:textId="77777777" w:rsidR="00CD77A6" w:rsidRPr="00901316" w:rsidRDefault="00CD77A6" w:rsidP="00CD77A6">
      <w:pPr>
        <w:pStyle w:val="BodyText"/>
        <w:ind w:firstLine="567"/>
        <w:rPr>
          <w:rFonts w:eastAsia="Calibri"/>
          <w:color w:val="000000" w:themeColor="text1"/>
        </w:rPr>
      </w:pPr>
      <w:r w:rsidRPr="00901316">
        <w:rPr>
          <w:rFonts w:eastAsia="Calibri"/>
          <w:color w:val="000000" w:themeColor="text1"/>
        </w:rPr>
        <w:t>Средствата по общинските бюджети от приватизация на дялове, акции и участия за периода са в размер на 1,6 млн. лв.</w:t>
      </w:r>
    </w:p>
    <w:p w14:paraId="6B29EB31" w14:textId="77777777" w:rsidR="00CD77A6" w:rsidRPr="00901316" w:rsidRDefault="00CD77A6" w:rsidP="00CD77A6">
      <w:pPr>
        <w:pStyle w:val="BodyText"/>
        <w:ind w:firstLine="567"/>
        <w:rPr>
          <w:rFonts w:eastAsia="Calibri"/>
          <w:color w:val="000000" w:themeColor="text1"/>
        </w:rPr>
      </w:pPr>
      <w:r w:rsidRPr="00901316">
        <w:rPr>
          <w:rFonts w:eastAsia="Calibri"/>
          <w:color w:val="000000" w:themeColor="text1"/>
        </w:rPr>
        <w:t xml:space="preserve">Отчетеният нетен размер по общинските бюджети на възмездната финансова помощ е (-8,5) млн. лв., а на предоставените кредити (-6,2) млн. лв. </w:t>
      </w:r>
    </w:p>
    <w:p w14:paraId="4230B1D5" w14:textId="77777777" w:rsidR="00CD77A6" w:rsidRPr="002A00EB" w:rsidRDefault="00CD77A6" w:rsidP="00CD77A6">
      <w:pPr>
        <w:pStyle w:val="BodyText"/>
        <w:ind w:firstLine="567"/>
        <w:rPr>
          <w:rFonts w:eastAsia="Calibri"/>
          <w:color w:val="365F91" w:themeColor="accent1" w:themeShade="BF"/>
        </w:rPr>
      </w:pPr>
      <w:r w:rsidRPr="002A00EB">
        <w:rPr>
          <w:rFonts w:eastAsia="Calibri"/>
          <w:color w:val="000000" w:themeColor="text1"/>
        </w:rPr>
        <w:t>Преходният остатък по общинските бюджети от 2023 г. е 2 162,0 млн. лв., а наличността към края на 2023 г. (по банкови сметки и каса) е в размер на 2 131,5 млн. лв. (с около 30,5 млн. лв. по-малко</w:t>
      </w:r>
      <w:r w:rsidRPr="002A00EB">
        <w:rPr>
          <w:rFonts w:eastAsia="Calibri"/>
          <w:color w:val="000000" w:themeColor="text1"/>
          <w:lang w:val="en-US"/>
        </w:rPr>
        <w:t xml:space="preserve"> </w:t>
      </w:r>
      <w:r w:rsidRPr="002A00EB">
        <w:rPr>
          <w:rFonts w:eastAsia="Calibri"/>
          <w:color w:val="000000" w:themeColor="text1"/>
        </w:rPr>
        <w:t>от края на 2022 г.). Отчетеният остатък в делегираните от държавата дейности е 823,0 млн. лв. (38,6%), а доста по-голямата наличност от 1 308,5 млн. лв. (61,4%) е в местни дейности</w:t>
      </w:r>
      <w:r w:rsidRPr="002A00EB">
        <w:rPr>
          <w:rFonts w:eastAsia="Calibri"/>
          <w:color w:val="365F91" w:themeColor="accent1" w:themeShade="BF"/>
        </w:rPr>
        <w:t xml:space="preserve">. </w:t>
      </w:r>
    </w:p>
    <w:p w14:paraId="61231C1B" w14:textId="77777777" w:rsidR="002C4D33" w:rsidRPr="00D56089" w:rsidRDefault="002C4D33" w:rsidP="00FD362E">
      <w:pPr>
        <w:pStyle w:val="BodyText"/>
        <w:spacing w:after="120"/>
        <w:ind w:firstLine="567"/>
        <w:rPr>
          <w:color w:val="4F81BD" w:themeColor="accent1"/>
          <w:sz w:val="18"/>
          <w:szCs w:val="12"/>
        </w:rPr>
      </w:pPr>
    </w:p>
    <w:p w14:paraId="1AFA2EF2" w14:textId="77777777" w:rsidR="00913197" w:rsidRPr="000F7FBA" w:rsidRDefault="00913197" w:rsidP="00ED2B9A">
      <w:pPr>
        <w:pStyle w:val="Heading1"/>
        <w:numPr>
          <w:ilvl w:val="1"/>
          <w:numId w:val="9"/>
        </w:numPr>
        <w:spacing w:before="120"/>
        <w:ind w:left="788" w:right="-108" w:hanging="431"/>
        <w:jc w:val="both"/>
        <w:rPr>
          <w:sz w:val="24"/>
        </w:rPr>
      </w:pPr>
      <w:bookmarkStart w:id="106" w:name="_Toc109906108"/>
      <w:r w:rsidRPr="000F7FBA">
        <w:rPr>
          <w:sz w:val="24"/>
        </w:rPr>
        <w:t>Бюджети на Българската национална телевизия, Българското национално радио и Българската телеграфна агенция</w:t>
      </w:r>
      <w:bookmarkEnd w:id="106"/>
      <w:r w:rsidRPr="000F7FBA">
        <w:rPr>
          <w:sz w:val="24"/>
        </w:rPr>
        <w:t xml:space="preserve"> </w:t>
      </w:r>
    </w:p>
    <w:p w14:paraId="307A17B8" w14:textId="45AD5469" w:rsidR="000F7FBA" w:rsidRPr="005250F3" w:rsidRDefault="000F7FBA" w:rsidP="000F7FBA">
      <w:pPr>
        <w:spacing w:before="240"/>
        <w:ind w:firstLine="567"/>
        <w:jc w:val="both"/>
      </w:pPr>
      <w:r w:rsidRPr="006B5AC7">
        <w:rPr>
          <w:b/>
        </w:rPr>
        <w:t xml:space="preserve">Приходите на Българската национална телевизия (БНТ) </w:t>
      </w:r>
      <w:r w:rsidRPr="006B5AC7">
        <w:t xml:space="preserve">към 31.12.2023 г. са в размер на </w:t>
      </w:r>
      <w:r w:rsidRPr="00015007">
        <w:rPr>
          <w:szCs w:val="20"/>
        </w:rPr>
        <w:t>12,6 млн</w:t>
      </w:r>
      <w:r w:rsidRPr="005250F3">
        <w:rPr>
          <w:szCs w:val="20"/>
        </w:rPr>
        <w:t>. лв.</w:t>
      </w:r>
      <w:r>
        <w:rPr>
          <w:szCs w:val="20"/>
          <w:lang w:val="en-US"/>
        </w:rPr>
        <w:t xml:space="preserve"> </w:t>
      </w:r>
      <w:r w:rsidRPr="005250F3">
        <w:t>и са с 2,0 млн. лв. повече спрямо отчетените приходи за предходната година. Спрямо годишните разчети изпълн</w:t>
      </w:r>
      <w:r w:rsidR="006714BD">
        <w:t xml:space="preserve">ението на приходите е 126,3 %. </w:t>
      </w:r>
      <w:r w:rsidRPr="005250F3">
        <w:t>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w:t>
      </w:r>
    </w:p>
    <w:p w14:paraId="56ECB540" w14:textId="305CA636" w:rsidR="000F7FBA" w:rsidRPr="00D56089" w:rsidRDefault="000F7FBA" w:rsidP="000F7FBA">
      <w:pPr>
        <w:ind w:firstLine="561"/>
        <w:jc w:val="both"/>
        <w:rPr>
          <w:color w:val="4F81BD" w:themeColor="accent1"/>
        </w:rPr>
      </w:pPr>
      <w:r w:rsidRPr="005250F3">
        <w:t xml:space="preserve">Отчетените </w:t>
      </w:r>
      <w:r w:rsidRPr="005250F3">
        <w:rPr>
          <w:b/>
        </w:rPr>
        <w:t>разходи</w:t>
      </w:r>
      <w:r w:rsidRPr="005250F3">
        <w:t xml:space="preserve"> </w:t>
      </w:r>
      <w:r w:rsidRPr="005250F3">
        <w:rPr>
          <w:b/>
        </w:rPr>
        <w:t>на БНТ</w:t>
      </w:r>
      <w:r w:rsidRPr="005250F3">
        <w:t xml:space="preserve"> към 31.12.2023 г. са в размер на 102,3 млн. лв. и надвишават отчетените за същия период на предходната година с 8,5 млн. лв. Спрямо разчетите към закона изпълнението на разходите е 104,4</w:t>
      </w:r>
      <w:r>
        <w:t xml:space="preserve"> </w:t>
      </w:r>
      <w:r w:rsidRPr="005250F3">
        <w:t xml:space="preserve">%. </w:t>
      </w:r>
      <w:r w:rsidRPr="005250F3">
        <w:rPr>
          <w:szCs w:val="20"/>
        </w:rPr>
        <w:t xml:space="preserve">Българската национална телевизия съставя, изпълнява, приключва и отчита бюджет, съгласно чл. 70, ал. 1 от Закона за радиото и телевизията (ЗРТ). </w:t>
      </w:r>
      <w:r w:rsidRPr="00015007">
        <w:rPr>
          <w:szCs w:val="20"/>
        </w:rPr>
        <w:t xml:space="preserve">За периода са отчетени 87,3 млн. лв. текущи разходи и 15,0 млн. лв. капиталови разходи. Общият размер на отчетените текущи разходи включва: 45,1 млн. лв. разходи за персонал и 42,2 млн. лв. разходи за издръжка (вкл. </w:t>
      </w:r>
      <w:r w:rsidRPr="00590F9D">
        <w:rPr>
          <w:szCs w:val="20"/>
        </w:rPr>
        <w:t>разходи за членски внос, платени данъци, такси и административни санкции).</w:t>
      </w:r>
      <w:r w:rsidRPr="00590F9D">
        <w:rPr>
          <w:szCs w:val="20"/>
          <w:lang w:val="en-US"/>
        </w:rPr>
        <w:t xml:space="preserve"> </w:t>
      </w:r>
      <w:r w:rsidRPr="00590F9D">
        <w:rPr>
          <w:szCs w:val="20"/>
        </w:rPr>
        <w:t>Отчетените разходи за персонал представляват 44,1</w:t>
      </w:r>
      <w:r>
        <w:rPr>
          <w:szCs w:val="20"/>
        </w:rPr>
        <w:t xml:space="preserve"> </w:t>
      </w:r>
      <w:r w:rsidRPr="00590F9D">
        <w:rPr>
          <w:szCs w:val="20"/>
        </w:rPr>
        <w:t xml:space="preserve">% от отчетените </w:t>
      </w:r>
      <w:r w:rsidR="00ED425F">
        <w:rPr>
          <w:szCs w:val="20"/>
        </w:rPr>
        <w:t xml:space="preserve">за периода </w:t>
      </w:r>
      <w:r w:rsidRPr="00590F9D">
        <w:rPr>
          <w:szCs w:val="20"/>
        </w:rPr>
        <w:t>разходи.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w:t>
      </w:r>
      <w:r w:rsidRPr="00590F9D">
        <w:rPr>
          <w:szCs w:val="20"/>
          <w:lang w:val="en-US"/>
        </w:rPr>
        <w:t xml:space="preserve"> </w:t>
      </w:r>
      <w:r w:rsidRPr="00590F9D">
        <w:rPr>
          <w:szCs w:val="20"/>
        </w:rPr>
        <w:t>В разпределението  на разходите по бюджета на обществената медия е включен преходния оста</w:t>
      </w:r>
      <w:r>
        <w:rPr>
          <w:szCs w:val="20"/>
        </w:rPr>
        <w:t>тък за 2022</w:t>
      </w:r>
      <w:r w:rsidRPr="00590F9D">
        <w:rPr>
          <w:szCs w:val="20"/>
        </w:rPr>
        <w:t xml:space="preserve"> г. (съгл. чл. 70, ал. 6 от ЗРТ) в размер на 1,7 млн. лв. </w:t>
      </w:r>
    </w:p>
    <w:p w14:paraId="51F2360F" w14:textId="5D584E49" w:rsidR="000F7FBA" w:rsidRPr="00590F9D" w:rsidRDefault="000F7FBA" w:rsidP="000F7FBA">
      <w:pPr>
        <w:ind w:firstLine="708"/>
        <w:jc w:val="both"/>
        <w:rPr>
          <w:szCs w:val="20"/>
        </w:rPr>
      </w:pPr>
      <w:r>
        <w:rPr>
          <w:szCs w:val="20"/>
        </w:rPr>
        <w:t>П</w:t>
      </w:r>
      <w:r w:rsidRPr="00590F9D">
        <w:rPr>
          <w:szCs w:val="20"/>
        </w:rPr>
        <w:t>о уточнен план</w:t>
      </w:r>
      <w:r w:rsidRPr="00590F9D">
        <w:t xml:space="preserve"> </w:t>
      </w:r>
      <w:r>
        <w:t>б</w:t>
      </w:r>
      <w:r w:rsidRPr="00590F9D">
        <w:t>юджетните взаимоотношени</w:t>
      </w:r>
      <w:r>
        <w:t>я на БНТ с централния бюджет са</w:t>
      </w:r>
      <w:r w:rsidRPr="00590F9D">
        <w:t xml:space="preserve"> 89,1 млн. лв., в т.ч.: </w:t>
      </w:r>
      <w:r w:rsidRPr="00590F9D">
        <w:rPr>
          <w:szCs w:val="20"/>
        </w:rPr>
        <w:t>86,2 млн. лв. съгласно чл. 49, т. 2 от ЗДБРБ за 2023 г. и 2,8 млн. лв. одобрени допълнителни трансфери съгласно ПМС № 108 от 2023 г. – 700 лв.; ПМС № 118 от 2023</w:t>
      </w:r>
      <w:r>
        <w:rPr>
          <w:szCs w:val="20"/>
          <w:lang w:val="en-US"/>
        </w:rPr>
        <w:t> </w:t>
      </w:r>
      <w:r w:rsidRPr="00590F9D">
        <w:rPr>
          <w:szCs w:val="20"/>
        </w:rPr>
        <w:t>г. – 1,1</w:t>
      </w:r>
      <w:r w:rsidR="00021E5D">
        <w:rPr>
          <w:szCs w:val="20"/>
        </w:rPr>
        <w:t> </w:t>
      </w:r>
      <w:r w:rsidRPr="00590F9D">
        <w:rPr>
          <w:szCs w:val="20"/>
        </w:rPr>
        <w:t>млн. лв. и ПМС № 128 от 2023 г. – 1,7 млн. лв.</w:t>
      </w:r>
      <w:r w:rsidRPr="00590F9D">
        <w:rPr>
          <w:lang w:val="en-US"/>
        </w:rPr>
        <w:t xml:space="preserve"> </w:t>
      </w:r>
      <w:r w:rsidRPr="00590F9D">
        <w:rPr>
          <w:szCs w:val="20"/>
        </w:rPr>
        <w:t>За отчетния период е усвоена сума в размер на 89,1 млн. лв. или 100,0</w:t>
      </w:r>
      <w:r>
        <w:rPr>
          <w:szCs w:val="20"/>
          <w:lang w:val="en-US"/>
        </w:rPr>
        <w:t xml:space="preserve"> </w:t>
      </w:r>
      <w:r w:rsidRPr="00590F9D">
        <w:rPr>
          <w:szCs w:val="20"/>
        </w:rPr>
        <w:t>% от размера на бюджетните взаимоотношения на БНТ с централния бюджет по уточнен план.</w:t>
      </w:r>
    </w:p>
    <w:p w14:paraId="5410C72C" w14:textId="77777777" w:rsidR="000F7FBA" w:rsidRPr="00D56089" w:rsidRDefault="000F7FBA" w:rsidP="000F7FBA">
      <w:pPr>
        <w:pStyle w:val="Title"/>
        <w:spacing w:before="120"/>
        <w:ind w:firstLine="567"/>
        <w:jc w:val="both"/>
        <w:rPr>
          <w:color w:val="4F81BD" w:themeColor="accent1"/>
        </w:rPr>
      </w:pPr>
      <w:r w:rsidRPr="00590F9D">
        <w:t xml:space="preserve">Приходите по бюджета на Българското национално радио (БНР) </w:t>
      </w:r>
      <w:r w:rsidRPr="00590F9D">
        <w:rPr>
          <w:b w:val="0"/>
        </w:rPr>
        <w:t>към 31.12.2023 г. са в размер на 2,1 млн. лв., което представлява 118,8</w:t>
      </w:r>
      <w:r>
        <w:rPr>
          <w:b w:val="0"/>
        </w:rPr>
        <w:t xml:space="preserve"> </w:t>
      </w:r>
      <w:r w:rsidRPr="00590F9D">
        <w:rPr>
          <w:b w:val="0"/>
        </w:rPr>
        <w:t>% изпълнение на заложените приходи в разчетите към ЗДБРБ за 2023 г. (</w:t>
      </w:r>
      <w:r w:rsidRPr="00590F9D">
        <w:rPr>
          <w:b w:val="0"/>
          <w:szCs w:val="24"/>
        </w:rPr>
        <w:t xml:space="preserve">1,8 млн. лв.) и са с 0,7 млн. лв. повече </w:t>
      </w:r>
      <w:r>
        <w:rPr>
          <w:b w:val="0"/>
        </w:rPr>
        <w:t>спрямо отчетените приходи за</w:t>
      </w:r>
      <w:r w:rsidRPr="00590F9D">
        <w:rPr>
          <w:b w:val="0"/>
        </w:rPr>
        <w:t xml:space="preserve"> предходната година.</w:t>
      </w:r>
      <w:r w:rsidRPr="00D56089">
        <w:rPr>
          <w:b w:val="0"/>
          <w:color w:val="4F81BD" w:themeColor="accent1"/>
        </w:rPr>
        <w:t xml:space="preserve"> </w:t>
      </w:r>
      <w:r w:rsidRPr="002355EB">
        <w:rPr>
          <w:b w:val="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глоби, санкции и наказателни лихви,  помощи и дарения от страната.</w:t>
      </w:r>
    </w:p>
    <w:p w14:paraId="22B5C824" w14:textId="77777777" w:rsidR="000F7FBA" w:rsidRPr="00015007" w:rsidRDefault="000F7FBA" w:rsidP="000F7FBA">
      <w:pPr>
        <w:ind w:firstLine="708"/>
        <w:jc w:val="both"/>
        <w:rPr>
          <w:szCs w:val="20"/>
        </w:rPr>
      </w:pPr>
      <w:r w:rsidRPr="00015007">
        <w:rPr>
          <w:szCs w:val="20"/>
        </w:rPr>
        <w:t xml:space="preserve">Към 31.12.2023 г. отчетените </w:t>
      </w:r>
      <w:r w:rsidRPr="002355EB">
        <w:rPr>
          <w:b/>
          <w:szCs w:val="20"/>
        </w:rPr>
        <w:t>разходи</w:t>
      </w:r>
      <w:r w:rsidRPr="00015007">
        <w:rPr>
          <w:szCs w:val="20"/>
        </w:rPr>
        <w:t xml:space="preserve"> по бюджета на БНР са в размер на 65,3 млн. лв., което представлява 99,1</w:t>
      </w:r>
      <w:r>
        <w:rPr>
          <w:szCs w:val="20"/>
        </w:rPr>
        <w:t xml:space="preserve"> </w:t>
      </w:r>
      <w:r w:rsidRPr="00015007">
        <w:rPr>
          <w:szCs w:val="20"/>
        </w:rPr>
        <w:t>% от предвидените разходи в разчетите към ЗДБРБ за 2023</w:t>
      </w:r>
      <w:r>
        <w:rPr>
          <w:szCs w:val="20"/>
        </w:rPr>
        <w:t> </w:t>
      </w:r>
      <w:r w:rsidRPr="00015007">
        <w:rPr>
          <w:szCs w:val="20"/>
        </w:rPr>
        <w:t xml:space="preserve">г. </w:t>
      </w:r>
    </w:p>
    <w:p w14:paraId="32CBC8CC" w14:textId="77777777" w:rsidR="000F7FBA" w:rsidRPr="00015007" w:rsidRDefault="000F7FBA" w:rsidP="000F7FBA">
      <w:pPr>
        <w:ind w:firstLine="708"/>
        <w:jc w:val="both"/>
        <w:rPr>
          <w:szCs w:val="20"/>
        </w:rPr>
      </w:pPr>
      <w:r w:rsidRPr="002355EB">
        <w:rPr>
          <w:szCs w:val="20"/>
        </w:rPr>
        <w:t xml:space="preserve">Българското национално радио съставя, изпълнява, приключва и отчита бюджет, съгласно чл. 70, ал. 1 от Закона за радиото и телевизията (ЗРТ). </w:t>
      </w:r>
      <w:r w:rsidRPr="00015007">
        <w:rPr>
          <w:szCs w:val="20"/>
        </w:rPr>
        <w:t>За периода са отчетени 58,6 млн. лв. текущи разходи и 6,7 млн. лв. капиталови разходи. Общият размер на отчетените текущи разходи включва: 38,6 млн. лв. разходи за персонал и 19,9 млн. лв. разходи за издръжка (вкл. разходи за членски внос, платени данъци, такси и административни санкции). Отчетените разходи за персонал представляват 59,2</w:t>
      </w:r>
      <w:r>
        <w:rPr>
          <w:szCs w:val="20"/>
          <w:lang w:val="en-US"/>
        </w:rPr>
        <w:t xml:space="preserve"> </w:t>
      </w:r>
      <w:r w:rsidRPr="00015007">
        <w:rPr>
          <w:szCs w:val="20"/>
        </w:rPr>
        <w:t>% от отчетените за периода разходи.</w:t>
      </w:r>
    </w:p>
    <w:p w14:paraId="4EE30B08" w14:textId="70D9BAC7" w:rsidR="000F7FBA" w:rsidRPr="00D56089" w:rsidRDefault="000F7FBA" w:rsidP="000F7FBA">
      <w:pPr>
        <w:ind w:firstLine="567"/>
        <w:jc w:val="both"/>
        <w:rPr>
          <w:color w:val="4F81BD" w:themeColor="accent1"/>
          <w:szCs w:val="20"/>
        </w:rPr>
      </w:pPr>
      <w:r w:rsidRPr="00015007">
        <w:rPr>
          <w:szCs w:val="20"/>
        </w:rPr>
        <w:t>В разпределението  на разходите по бюджета на БНР е включен преходния остатък за 2022</w:t>
      </w:r>
      <w:r w:rsidR="00021E5D">
        <w:rPr>
          <w:szCs w:val="20"/>
        </w:rPr>
        <w:t> </w:t>
      </w:r>
      <w:r w:rsidRPr="00015007">
        <w:rPr>
          <w:szCs w:val="20"/>
        </w:rPr>
        <w:t>г. (съгл. чл. 70, ал. 6 от ЗРТ) в</w:t>
      </w:r>
      <w:r w:rsidRPr="002355EB">
        <w:rPr>
          <w:szCs w:val="20"/>
        </w:rPr>
        <w:t xml:space="preserve"> размер на 5,0 млн. лв.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w:t>
      </w:r>
    </w:p>
    <w:p w14:paraId="772B1256" w14:textId="77777777" w:rsidR="000F7FBA" w:rsidRPr="00015007" w:rsidRDefault="000F7FBA" w:rsidP="000F7FBA">
      <w:pPr>
        <w:ind w:firstLine="708"/>
        <w:jc w:val="both"/>
        <w:rPr>
          <w:szCs w:val="20"/>
        </w:rPr>
      </w:pPr>
      <w:r>
        <w:rPr>
          <w:szCs w:val="20"/>
        </w:rPr>
        <w:t>П</w:t>
      </w:r>
      <w:r w:rsidRPr="00590F9D">
        <w:rPr>
          <w:szCs w:val="20"/>
        </w:rPr>
        <w:t>о уточнен план</w:t>
      </w:r>
      <w:r w:rsidRPr="00590F9D">
        <w:t xml:space="preserve"> </w:t>
      </w:r>
      <w:r>
        <w:t>б</w:t>
      </w:r>
      <w:r w:rsidRPr="00590F9D">
        <w:t>юджетните взаимоотношени</w:t>
      </w:r>
      <w:r>
        <w:t>я на БНР с централния бюджет са 62,2</w:t>
      </w:r>
      <w:r w:rsidRPr="00590F9D">
        <w:t xml:space="preserve"> млн. лв., в т.ч.:</w:t>
      </w:r>
      <w:r>
        <w:t xml:space="preserve"> </w:t>
      </w:r>
      <w:r w:rsidRPr="00015007">
        <w:rPr>
          <w:szCs w:val="20"/>
        </w:rPr>
        <w:t xml:space="preserve">59,1 млн. лв. съгласно чл. 49, т. 1 от ЗДБРБ за 2023 г. и одобрени допълнителни трансфери в размер на 3,1 млн. лв. съгласно ПМС № 118 от 2023 г. – 0,8 млн. лв.; ПМС № 128 от 2023 г. – 0,8 млн. лв. и ПМС № 187 от 2023 г. – 1,5 млн. лв. </w:t>
      </w:r>
      <w:r w:rsidRPr="00015007">
        <w:rPr>
          <w:color w:val="000000"/>
        </w:rPr>
        <w:t>за сметка на определените разходи по централния бюджет за 2023 г. с чл. 1, ал. 5, т. 6.5. на ЗДБРБ за 2023 г.</w:t>
      </w:r>
      <w:r w:rsidRPr="00015007">
        <w:rPr>
          <w:szCs w:val="20"/>
        </w:rPr>
        <w:t xml:space="preserve"> </w:t>
      </w:r>
    </w:p>
    <w:p w14:paraId="4A6B64AD" w14:textId="77777777" w:rsidR="000F7FBA" w:rsidRDefault="000F7FBA" w:rsidP="000F7FBA">
      <w:pPr>
        <w:ind w:firstLine="567"/>
        <w:jc w:val="both"/>
      </w:pPr>
      <w:r w:rsidRPr="00015007">
        <w:rPr>
          <w:szCs w:val="20"/>
        </w:rPr>
        <w:t>За отчетния период е усвоена сума в размер на 62,2 млн. лв. или 100,0</w:t>
      </w:r>
      <w:r>
        <w:rPr>
          <w:szCs w:val="20"/>
        </w:rPr>
        <w:t xml:space="preserve"> </w:t>
      </w:r>
      <w:r w:rsidRPr="00015007">
        <w:rPr>
          <w:szCs w:val="20"/>
        </w:rPr>
        <w:t>% от размера на бюджетните взаимоотношения на БНР с централния бюджет по уточнен план.</w:t>
      </w:r>
    </w:p>
    <w:p w14:paraId="15022F5F" w14:textId="77777777" w:rsidR="000F7FBA" w:rsidRPr="002355EB" w:rsidRDefault="000F7FBA" w:rsidP="000F7FBA">
      <w:pPr>
        <w:spacing w:before="120"/>
        <w:ind w:firstLine="567"/>
        <w:jc w:val="both"/>
        <w:rPr>
          <w:b/>
          <w:szCs w:val="20"/>
        </w:rPr>
      </w:pPr>
      <w:r w:rsidRPr="002355EB">
        <w:rPr>
          <w:b/>
          <w:szCs w:val="20"/>
        </w:rPr>
        <w:t xml:space="preserve">Приходите на </w:t>
      </w:r>
      <w:r w:rsidRPr="002355EB">
        <w:rPr>
          <w:b/>
        </w:rPr>
        <w:t>Българската телеграфна агенция (БТА)</w:t>
      </w:r>
      <w:r w:rsidRPr="002355EB">
        <w:t xml:space="preserve"> </w:t>
      </w:r>
      <w:r w:rsidRPr="002355EB">
        <w:rPr>
          <w:szCs w:val="20"/>
        </w:rPr>
        <w:t xml:space="preserve">към 31.12.2023 г. </w:t>
      </w:r>
      <w:r>
        <w:rPr>
          <w:szCs w:val="20"/>
        </w:rPr>
        <w:t>са в размер на 0,9</w:t>
      </w:r>
      <w:r w:rsidRPr="002355EB">
        <w:rPr>
          <w:szCs w:val="20"/>
        </w:rPr>
        <w:t xml:space="preserve"> млн. лв</w:t>
      </w:r>
      <w:r w:rsidRPr="002355EB">
        <w:t xml:space="preserve">. и са основно от </w:t>
      </w:r>
      <w:r w:rsidRPr="002355EB">
        <w:rPr>
          <w:szCs w:val="20"/>
        </w:rPr>
        <w:t xml:space="preserve">продажба на услуги, стоки и продукция (реклама, технически услуги, продажба на продукция), наеми на имущество и др. </w:t>
      </w:r>
      <w:r w:rsidRPr="002355EB">
        <w:t>Приходите са с 0,09 млн. лв. повече от реализираните през същия период на миналата година.</w:t>
      </w:r>
      <w:r w:rsidRPr="002355EB">
        <w:rPr>
          <w:szCs w:val="20"/>
        </w:rPr>
        <w:t xml:space="preserve"> </w:t>
      </w:r>
    </w:p>
    <w:p w14:paraId="0FDFFFEB" w14:textId="77777777" w:rsidR="000F7FBA" w:rsidRDefault="000F7FBA" w:rsidP="000F7FBA">
      <w:pPr>
        <w:ind w:firstLine="567"/>
        <w:jc w:val="both"/>
      </w:pPr>
      <w:r w:rsidRPr="002355EB">
        <w:t xml:space="preserve">Българската телеграфна агенция съставя, изпълнява, приключва и отчита бюджет, съгласно чл. 19, ал. 1 от Закона за Българска телеграфна агенция (ЗБТА). </w:t>
      </w:r>
    </w:p>
    <w:p w14:paraId="1F699AE3" w14:textId="3C23FEC3" w:rsidR="000F7FBA" w:rsidRPr="00015007" w:rsidRDefault="000F7FBA" w:rsidP="000F7FBA">
      <w:pPr>
        <w:pStyle w:val="Title"/>
        <w:ind w:firstLine="708"/>
        <w:jc w:val="both"/>
        <w:rPr>
          <w:b w:val="0"/>
        </w:rPr>
      </w:pPr>
      <w:r w:rsidRPr="005250F3">
        <w:t>Отчетените разходи на</w:t>
      </w:r>
      <w:r>
        <w:rPr>
          <w:b w:val="0"/>
        </w:rPr>
        <w:t xml:space="preserve"> Б</w:t>
      </w:r>
      <w:r w:rsidRPr="005250F3">
        <w:t>Т</w:t>
      </w:r>
      <w:r>
        <w:rPr>
          <w:b w:val="0"/>
        </w:rPr>
        <w:t>А</w:t>
      </w:r>
      <w:r w:rsidRPr="005250F3">
        <w:t xml:space="preserve"> към 31.12.2023 г. </w:t>
      </w:r>
      <w:r w:rsidRPr="00810D82">
        <w:rPr>
          <w:b w:val="0"/>
        </w:rPr>
        <w:t>са в размер на</w:t>
      </w:r>
      <w:r w:rsidRPr="005250F3">
        <w:t xml:space="preserve"> </w:t>
      </w:r>
      <w:r>
        <w:t xml:space="preserve">16,5 </w:t>
      </w:r>
      <w:r w:rsidRPr="005250F3">
        <w:t>млн. лв</w:t>
      </w:r>
      <w:r w:rsidRPr="00F736E3">
        <w:t xml:space="preserve">. </w:t>
      </w:r>
      <w:r w:rsidRPr="00810D82">
        <w:rPr>
          <w:b w:val="0"/>
        </w:rPr>
        <w:t>За периода са отчетени 13,6 млн. лв. текущи разходи</w:t>
      </w:r>
      <w:r w:rsidR="00487856">
        <w:rPr>
          <w:b w:val="0"/>
        </w:rPr>
        <w:t>,</w:t>
      </w:r>
      <w:r w:rsidRPr="00810D82">
        <w:rPr>
          <w:b w:val="0"/>
        </w:rPr>
        <w:t xml:space="preserve"> 2,8 млн. лв. капиталови разходи</w:t>
      </w:r>
      <w:r w:rsidR="00487856">
        <w:rPr>
          <w:b w:val="0"/>
        </w:rPr>
        <w:t>,</w:t>
      </w:r>
      <w:r w:rsidRPr="00F736E3">
        <w:t xml:space="preserve"> </w:t>
      </w:r>
      <w:r w:rsidRPr="00015007">
        <w:rPr>
          <w:b w:val="0"/>
        </w:rPr>
        <w:t>9,9 млн. лв. разходи за персонал и 3,7 млн. лв. разходи за издръжка (вкл. разходи за членски внос, платени данъци, такси и административни санкции). Отчетените разход</w:t>
      </w:r>
      <w:r>
        <w:rPr>
          <w:b w:val="0"/>
        </w:rPr>
        <w:t xml:space="preserve">и за персонал представляват 60,5 </w:t>
      </w:r>
      <w:r w:rsidRPr="00015007">
        <w:rPr>
          <w:b w:val="0"/>
        </w:rPr>
        <w:t xml:space="preserve">% от отчетените </w:t>
      </w:r>
      <w:r w:rsidR="000B4C03">
        <w:rPr>
          <w:b w:val="0"/>
        </w:rPr>
        <w:t>за периода</w:t>
      </w:r>
      <w:r w:rsidRPr="00015007">
        <w:rPr>
          <w:b w:val="0"/>
        </w:rPr>
        <w:t xml:space="preserve"> разходи.</w:t>
      </w:r>
      <w:r>
        <w:rPr>
          <w:lang w:val="en-US"/>
        </w:rPr>
        <w:t xml:space="preserve"> </w:t>
      </w:r>
      <w:r w:rsidRPr="00015007">
        <w:rPr>
          <w:b w:val="0"/>
        </w:rPr>
        <w:t xml:space="preserve">В разпределението на разходите по бюджета на агенцията е включен преходния остатък за 2022 г. (съгл. чл. </w:t>
      </w:r>
      <w:r>
        <w:rPr>
          <w:b w:val="0"/>
        </w:rPr>
        <w:t>20, ал. 3 от ЗБТА) в размер на 5,3</w:t>
      </w:r>
      <w:r w:rsidRPr="00015007">
        <w:rPr>
          <w:b w:val="0"/>
        </w:rPr>
        <w:t xml:space="preserve"> млн. лв.</w:t>
      </w:r>
      <w:r w:rsidRPr="00F736E3">
        <w:t xml:space="preserve"> </w:t>
      </w:r>
      <w:r w:rsidRPr="00015007">
        <w:rPr>
          <w:b w:val="0"/>
        </w:rPr>
        <w:t>За отчетния период средствата са усвоени за реализирането на основните цели и дейности на БТА като национален независим информационен институт на Република България, съгласно разпоредбите на Закона за Българска телеграфна агенция.</w:t>
      </w:r>
    </w:p>
    <w:p w14:paraId="3167B901" w14:textId="77777777" w:rsidR="000F7FBA" w:rsidRPr="00F736E3" w:rsidRDefault="000F7FBA" w:rsidP="000F7FBA">
      <w:pPr>
        <w:ind w:firstLine="567"/>
        <w:jc w:val="both"/>
        <w:rPr>
          <w:szCs w:val="20"/>
        </w:rPr>
      </w:pPr>
      <w:r w:rsidRPr="00F736E3">
        <w:rPr>
          <w:szCs w:val="20"/>
        </w:rPr>
        <w:t xml:space="preserve">За периода </w:t>
      </w:r>
      <w:r w:rsidRPr="00F736E3">
        <w:rPr>
          <w:b/>
          <w:szCs w:val="20"/>
        </w:rPr>
        <w:t>трансферът от централния бюджет</w:t>
      </w:r>
      <w:r w:rsidRPr="00F736E3">
        <w:rPr>
          <w:szCs w:val="20"/>
        </w:rPr>
        <w:t xml:space="preserve"> е в размер на 12,3 млн. лева.</w:t>
      </w:r>
    </w:p>
    <w:p w14:paraId="58487A37" w14:textId="77777777" w:rsidR="007C1025" w:rsidRPr="00D56089" w:rsidRDefault="007C1025" w:rsidP="007C1025">
      <w:pPr>
        <w:ind w:firstLine="567"/>
        <w:jc w:val="both"/>
        <w:rPr>
          <w:color w:val="4F81BD" w:themeColor="accent1"/>
          <w:szCs w:val="20"/>
        </w:rPr>
      </w:pPr>
    </w:p>
    <w:p w14:paraId="6F857821" w14:textId="77777777" w:rsidR="00446778" w:rsidRPr="00D56089" w:rsidRDefault="00446778" w:rsidP="007C1025">
      <w:pPr>
        <w:pStyle w:val="Title"/>
        <w:jc w:val="both"/>
        <w:rPr>
          <w:color w:val="4F81BD" w:themeColor="accent1"/>
        </w:rPr>
      </w:pPr>
    </w:p>
    <w:p w14:paraId="6E5E7642" w14:textId="77777777" w:rsidR="00446778" w:rsidRPr="00D56089" w:rsidRDefault="00446778" w:rsidP="007C1025">
      <w:pPr>
        <w:pStyle w:val="Title"/>
        <w:jc w:val="both"/>
        <w:rPr>
          <w:color w:val="4F81BD" w:themeColor="accent1"/>
        </w:rPr>
      </w:pPr>
    </w:p>
    <w:p w14:paraId="38EBADF3" w14:textId="77777777" w:rsidR="00001ABF" w:rsidRPr="00D56089" w:rsidRDefault="00001ABF" w:rsidP="007C1025">
      <w:pPr>
        <w:pStyle w:val="Title"/>
        <w:jc w:val="both"/>
        <w:rPr>
          <w:color w:val="4F81BD" w:themeColor="accent1"/>
        </w:rPr>
      </w:pPr>
    </w:p>
    <w:p w14:paraId="447D1360" w14:textId="1981E851" w:rsidR="007C1025" w:rsidRPr="002B050C" w:rsidRDefault="007C1025" w:rsidP="007C1025">
      <w:pPr>
        <w:pStyle w:val="Title"/>
        <w:jc w:val="both"/>
      </w:pPr>
      <w:r w:rsidRPr="002B050C">
        <w:t xml:space="preserve">Министерство на финансите, </w:t>
      </w:r>
      <w:r w:rsidR="00D30408">
        <w:t>февруари</w:t>
      </w:r>
      <w:r w:rsidR="002B050C" w:rsidRPr="002B050C">
        <w:t xml:space="preserve"> </w:t>
      </w:r>
      <w:r w:rsidRPr="002B050C">
        <w:t>202</w:t>
      </w:r>
      <w:r w:rsidR="002B050C" w:rsidRPr="002B050C">
        <w:rPr>
          <w:lang w:val="en-US"/>
        </w:rPr>
        <w:t>4</w:t>
      </w:r>
      <w:r w:rsidRPr="002B050C">
        <w:t xml:space="preserve"> г.</w:t>
      </w:r>
    </w:p>
    <w:p w14:paraId="0D5D2A63" w14:textId="77777777" w:rsidR="0050598A" w:rsidRPr="00D56089" w:rsidRDefault="0050598A" w:rsidP="0050598A">
      <w:pPr>
        <w:pStyle w:val="Title"/>
        <w:jc w:val="both"/>
        <w:rPr>
          <w:color w:val="4F81BD" w:themeColor="accent1"/>
        </w:rPr>
      </w:pPr>
    </w:p>
    <w:p w14:paraId="37F3849A" w14:textId="77777777" w:rsidR="00AD5728" w:rsidRDefault="00AD5728" w:rsidP="008E69B4">
      <w:pPr>
        <w:tabs>
          <w:tab w:val="left" w:pos="2520"/>
        </w:tabs>
        <w:spacing w:line="480" w:lineRule="auto"/>
        <w:ind w:left="-1134" w:right="-386" w:firstLine="1134"/>
        <w:rPr>
          <w:sz w:val="20"/>
          <w:szCs w:val="20"/>
          <w:lang w:eastAsia="bg-BG"/>
        </w:rPr>
      </w:pPr>
    </w:p>
    <w:p w14:paraId="5A89A0DB" w14:textId="77777777" w:rsidR="00AD5728" w:rsidRDefault="00AD5728" w:rsidP="008E69B4">
      <w:pPr>
        <w:tabs>
          <w:tab w:val="left" w:pos="2520"/>
        </w:tabs>
        <w:spacing w:line="480" w:lineRule="auto"/>
        <w:ind w:left="-1134" w:right="-386" w:firstLine="1134"/>
        <w:rPr>
          <w:sz w:val="20"/>
          <w:szCs w:val="20"/>
          <w:lang w:eastAsia="bg-BG"/>
        </w:rPr>
      </w:pPr>
    </w:p>
    <w:p w14:paraId="21726C32" w14:textId="77777777" w:rsidR="00AD5728" w:rsidRDefault="00AD5728" w:rsidP="008E69B4">
      <w:pPr>
        <w:tabs>
          <w:tab w:val="left" w:pos="2520"/>
        </w:tabs>
        <w:spacing w:line="480" w:lineRule="auto"/>
        <w:ind w:left="-1134" w:right="-386" w:firstLine="1134"/>
        <w:rPr>
          <w:sz w:val="20"/>
          <w:szCs w:val="20"/>
          <w:lang w:eastAsia="bg-BG"/>
        </w:rPr>
      </w:pPr>
    </w:p>
    <w:p w14:paraId="4A2FC9A4" w14:textId="77777777" w:rsidR="0050598A" w:rsidRPr="00D56089" w:rsidRDefault="0050598A" w:rsidP="0050598A">
      <w:pPr>
        <w:pStyle w:val="Title"/>
        <w:jc w:val="both"/>
        <w:rPr>
          <w:color w:val="4F81BD" w:themeColor="accent1"/>
        </w:rPr>
      </w:pPr>
      <w:bookmarkStart w:id="107" w:name="_GoBack"/>
      <w:bookmarkEnd w:id="107"/>
    </w:p>
    <w:sectPr w:rsidR="0050598A" w:rsidRPr="00D56089" w:rsidSect="00033525">
      <w:footerReference w:type="even" r:id="rId13"/>
      <w:footerReference w:type="default" r:id="rId14"/>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3CAC4" w14:textId="77777777" w:rsidR="00095288" w:rsidRDefault="00095288">
      <w:r>
        <w:separator/>
      </w:r>
    </w:p>
  </w:endnote>
  <w:endnote w:type="continuationSeparator" w:id="0">
    <w:p w14:paraId="141022FA" w14:textId="77777777" w:rsidR="00095288" w:rsidRDefault="00095288">
      <w:r>
        <w:continuationSeparator/>
      </w:r>
    </w:p>
  </w:endnote>
  <w:endnote w:type="continuationNotice" w:id="1">
    <w:p w14:paraId="784652C7" w14:textId="77777777" w:rsidR="00095288" w:rsidRDefault="00095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ngs">
    <w:altName w:val="Yu Gothic UI"/>
    <w:charset w:val="80"/>
    <w:family w:val="roman"/>
    <w:pitch w:val="default"/>
    <w:sig w:usb0="00000000" w:usb1="0000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B471" w14:textId="77777777" w:rsidR="00095288" w:rsidRDefault="00095288"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A26D3" w14:textId="77777777" w:rsidR="00095288" w:rsidRDefault="00095288"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9EBE" w14:textId="336CD348" w:rsidR="00095288" w:rsidRDefault="00095288"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811">
      <w:rPr>
        <w:rStyle w:val="PageNumber"/>
        <w:noProof/>
      </w:rPr>
      <w:t>32</w:t>
    </w:r>
    <w:r>
      <w:rPr>
        <w:rStyle w:val="PageNumber"/>
      </w:rPr>
      <w:fldChar w:fldCharType="end"/>
    </w:r>
  </w:p>
  <w:p w14:paraId="7A38DBA0" w14:textId="77777777" w:rsidR="00095288" w:rsidRDefault="00095288"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2B118" w14:textId="77777777" w:rsidR="00095288" w:rsidRDefault="00095288">
      <w:r>
        <w:separator/>
      </w:r>
    </w:p>
  </w:footnote>
  <w:footnote w:type="continuationSeparator" w:id="0">
    <w:p w14:paraId="33AC7E9E" w14:textId="77777777" w:rsidR="00095288" w:rsidRDefault="00095288">
      <w:r>
        <w:continuationSeparator/>
      </w:r>
    </w:p>
  </w:footnote>
  <w:footnote w:type="continuationNotice" w:id="1">
    <w:p w14:paraId="4F5E7FE7" w14:textId="77777777" w:rsidR="00095288" w:rsidRDefault="00095288"/>
  </w:footnote>
  <w:footnote w:id="2">
    <w:p w14:paraId="72401B4D" w14:textId="77777777" w:rsidR="00095288" w:rsidRPr="007D18FE" w:rsidRDefault="00095288"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w:t>
      </w:r>
      <w:r>
        <w:rPr>
          <w:sz w:val="18"/>
          <w:szCs w:val="18"/>
          <w:lang w:val="bg-BG"/>
        </w:rPr>
        <w:t>3</w:t>
      </w:r>
      <w:r w:rsidRPr="007D18FE">
        <w:rPr>
          <w:sz w:val="18"/>
          <w:szCs w:val="18"/>
          <w:lang w:val="bg-BG"/>
        </w:rPr>
        <w:t>,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14:paraId="20643BA8" w14:textId="77777777" w:rsidR="00095288" w:rsidRPr="007D18FE" w:rsidRDefault="00095288" w:rsidP="0010424C">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4">
    <w:p w14:paraId="4051580D" w14:textId="77777777" w:rsidR="00095288" w:rsidRPr="00D13ABE" w:rsidRDefault="00095288" w:rsidP="00222173">
      <w:pPr>
        <w:pStyle w:val="FootnoteText"/>
        <w:rPr>
          <w:lang w:val="bg-BG"/>
        </w:rPr>
      </w:pPr>
      <w:r w:rsidRPr="004304BD">
        <w:rPr>
          <w:rStyle w:val="FootnoteReference"/>
        </w:rPr>
        <w:footnoteRef/>
      </w:r>
      <w:r w:rsidRPr="004304BD">
        <w:rPr>
          <w:lang w:val="bg-BG"/>
        </w:rPr>
        <w:t xml:space="preserve"> </w:t>
      </w:r>
      <w:r w:rsidRPr="004304BD">
        <w:rPr>
          <w:sz w:val="18"/>
          <w:szCs w:val="18"/>
          <w:lang w:val="bg-BG"/>
        </w:rPr>
        <w:t>Разчети към ЗДБРБ за 2023 г. (oбн., ДВ., бр. 66 от 01.08.2023 г.).</w:t>
      </w:r>
    </w:p>
  </w:footnote>
  <w:footnote w:id="5">
    <w:p w14:paraId="0BABB129" w14:textId="77777777" w:rsidR="00095288" w:rsidRPr="00E576F0" w:rsidRDefault="00095288" w:rsidP="00292821">
      <w:pPr>
        <w:pStyle w:val="FootnoteText"/>
        <w:jc w:val="both"/>
        <w:rPr>
          <w:lang w:val="bg-BG"/>
        </w:rPr>
      </w:pPr>
      <w:r w:rsidRPr="00E576F0">
        <w:rPr>
          <w:rStyle w:val="FootnoteReference"/>
          <w:lang w:val="bg-BG"/>
        </w:rPr>
        <w:footnoteRef/>
      </w:r>
      <w:r w:rsidRPr="00E576F0">
        <w:rPr>
          <w:lang w:val="bg-BG"/>
        </w:rPr>
        <w:t xml:space="preserve"> </w:t>
      </w:r>
      <w:r w:rsidRPr="00E576F0">
        <w:rPr>
          <w:rFonts w:eastAsia="Calibri"/>
          <w:sz w:val="18"/>
          <w:lang w:val="bg-BG"/>
        </w:rPr>
        <w:t>При съпоставката с предходната година следва да се отчете базов ефект при приходите от други данъци от постъпващи от началото на 2023 г. целеви вноски във Фонд "Сигурност на електроенергийната система" (ФСЕС) от производителите и търговците на електрическа енергия, в изпълнение на § 8 от ПЗР на Закона за прилагане на разпоредби на ЗДБРБ за 2022 г., ЗБДОО за 2022 г. и ЗБНЗОК за 2022 г., респективно § 3 от ПЗР на ЗДБРБ за 2023 г., както и от приходи от задължителна временна солидарна вноска за генерираните свръхпечалби, съгласно чл. 14 от Регламент (ЕС) 2022/1854 на Съвета от 6 октомври 2022 г. относно спешна намеса за справяне с високите цени на енергията, които започнаха да постъпват от декември 2022 г</w:t>
      </w:r>
      <w:r w:rsidRPr="00E576F0">
        <w:rPr>
          <w:sz w:val="18"/>
          <w:lang w:val="bg-BG"/>
        </w:rPr>
        <w:t>.</w:t>
      </w:r>
    </w:p>
  </w:footnote>
  <w:footnote w:id="6">
    <w:p w14:paraId="54B81B7B" w14:textId="77777777" w:rsidR="00095288" w:rsidRPr="00C1149B" w:rsidRDefault="00095288" w:rsidP="00C1149B">
      <w:pPr>
        <w:pStyle w:val="FootnoteText"/>
        <w:jc w:val="both"/>
        <w:rPr>
          <w:sz w:val="18"/>
          <w:szCs w:val="18"/>
          <w:lang w:val="bg-BG"/>
        </w:rPr>
      </w:pPr>
      <w:r w:rsidRPr="00C1149B">
        <w:rPr>
          <w:rStyle w:val="FootnoteReference"/>
          <w:lang w:val="bg-BG"/>
        </w:rPr>
        <w:footnoteRef/>
      </w:r>
      <w:r w:rsidRPr="00C1149B">
        <w:rPr>
          <w:lang w:val="bg-BG"/>
        </w:rPr>
        <w:t xml:space="preserve"> </w:t>
      </w:r>
      <w:r w:rsidRPr="00713667">
        <w:rPr>
          <w:sz w:val="18"/>
          <w:szCs w:val="18"/>
          <w:lang w:val="bg-BG"/>
        </w:rPr>
        <w:t>За периода юли – декември 2022 г. в изпълнение на разпоредбата на §24 от ПЗР на ЗДБРБ за 2022 г. в частта на неданъчните приходи по бюджета на ФСЕС постъпиха целеви вноски в размер на 3,2 млрд. лв., с които се финансира изплащането на компенсации към небитовите крайни клиенти на електрическа енергия по §23 от ПЗР на ЗДБРБ за 2022 г. в частта на разходите за субсидии за нефинансови предприятия. Към края на декември 2022 г. постъпленията, респективно разходите, бяха в размер на 3,2</w:t>
      </w:r>
      <w:r>
        <w:rPr>
          <w:sz w:val="18"/>
          <w:szCs w:val="18"/>
          <w:lang w:val="bg-BG"/>
        </w:rPr>
        <w:t> </w:t>
      </w:r>
      <w:r w:rsidRPr="00713667">
        <w:rPr>
          <w:sz w:val="18"/>
          <w:szCs w:val="18"/>
          <w:lang w:val="bg-BG"/>
        </w:rPr>
        <w:t>млрд. лв. Поради обстоятелството, че през 2023 г. действа различна нормативна база</w:t>
      </w:r>
      <w:r>
        <w:rPr>
          <w:sz w:val="18"/>
          <w:szCs w:val="18"/>
          <w:lang w:val="bg-BG"/>
        </w:rPr>
        <w:t>,</w:t>
      </w:r>
      <w:r w:rsidRPr="00713667">
        <w:rPr>
          <w:sz w:val="18"/>
          <w:szCs w:val="18"/>
          <w:lang w:val="bg-BG"/>
        </w:rPr>
        <w:t xml:space="preserve"> при съпоставката с предходната година в частта на неданъчните приходи и разходите за субсидии за нефинансови предприятия следва да се отчете базов ефект от действащото законодателство през 2022 г. и 2023 г</w:t>
      </w:r>
      <w:r w:rsidRPr="00C1149B">
        <w:rPr>
          <w:sz w:val="18"/>
          <w:szCs w:val="18"/>
          <w:lang w:val="bg-BG"/>
        </w:rPr>
        <w:t xml:space="preserve">.  </w:t>
      </w:r>
    </w:p>
  </w:footnote>
  <w:footnote w:id="7">
    <w:p w14:paraId="36031041" w14:textId="77777777" w:rsidR="00095288" w:rsidRPr="00E74802" w:rsidRDefault="00095288" w:rsidP="0010424C">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8">
    <w:p w14:paraId="2E936DE6" w14:textId="77777777" w:rsidR="00095288" w:rsidRPr="006440AB" w:rsidRDefault="00095288" w:rsidP="00222173">
      <w:pPr>
        <w:pStyle w:val="FootnoteText"/>
        <w:rPr>
          <w:lang w:val="bg-BG"/>
        </w:rPr>
      </w:pPr>
      <w:r w:rsidRPr="006440AB">
        <w:rPr>
          <w:rStyle w:val="FootnoteReference"/>
          <w:lang w:val="bg-BG"/>
        </w:rPr>
        <w:footnoteRef/>
      </w:r>
      <w:r w:rsidRPr="006440AB">
        <w:rPr>
          <w:lang w:val="bg-BG"/>
        </w:rPr>
        <w:t xml:space="preserve"> </w:t>
      </w:r>
      <w:r w:rsidRPr="006440AB">
        <w:rPr>
          <w:sz w:val="18"/>
          <w:szCs w:val="16"/>
          <w:lang w:val="bg-BG"/>
        </w:rPr>
        <w:t>Държавният бюджет включва централен бюджет, бюджетите на НС, съдебната власт, министерствата и ведомствата.</w:t>
      </w:r>
    </w:p>
  </w:footnote>
  <w:footnote w:id="9">
    <w:p w14:paraId="68EBD3B0" w14:textId="77777777" w:rsidR="006C2C5B" w:rsidRPr="007B1E5A" w:rsidRDefault="006C2C5B" w:rsidP="006C2C5B">
      <w:pPr>
        <w:pStyle w:val="FootnoteText"/>
        <w:jc w:val="both"/>
        <w:rPr>
          <w:sz w:val="18"/>
          <w:szCs w:val="18"/>
          <w:lang w:val="bg-BG"/>
        </w:rPr>
      </w:pPr>
      <w:r w:rsidRPr="007B1E5A">
        <w:rPr>
          <w:rStyle w:val="FootnoteReference"/>
          <w:lang w:val="bg-BG"/>
        </w:rPr>
        <w:footnoteRef/>
      </w:r>
      <w:r w:rsidRPr="007B1E5A">
        <w:rPr>
          <w:sz w:val="18"/>
          <w:szCs w:val="18"/>
          <w:lang w:val="bg-BG"/>
        </w:rPr>
        <w:t xml:space="preserve"> Поради извършено закръгление в млн. лв., някои сумарни позиции в Таблица № 1 и в текста не се изчерпват от съставните им числа.</w:t>
      </w:r>
    </w:p>
  </w:footnote>
  <w:footnote w:id="10">
    <w:p w14:paraId="3A24FD8D" w14:textId="77777777" w:rsidR="006C2C5B" w:rsidRPr="007B1E5A" w:rsidRDefault="006C2C5B" w:rsidP="006C2C5B">
      <w:pPr>
        <w:pStyle w:val="FootnoteText"/>
        <w:jc w:val="both"/>
        <w:rPr>
          <w:sz w:val="18"/>
          <w:szCs w:val="18"/>
          <w:lang w:val="bg-BG"/>
        </w:rPr>
      </w:pPr>
      <w:r w:rsidRPr="007B1E5A">
        <w:rPr>
          <w:rStyle w:val="FootnoteReference"/>
          <w:lang w:val="bg-BG"/>
        </w:rPr>
        <w:footnoteRef/>
      </w:r>
      <w:r w:rsidRPr="007B1E5A">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2A64D70"/>
    <w:multiLevelType w:val="hybridMultilevel"/>
    <w:tmpl w:val="F85C9BE4"/>
    <w:lvl w:ilvl="0" w:tplc="982A2DA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6429A2"/>
    <w:multiLevelType w:val="hybridMultilevel"/>
    <w:tmpl w:val="E4D08A9A"/>
    <w:lvl w:ilvl="0" w:tplc="0402000D">
      <w:start w:val="1"/>
      <w:numFmt w:val="bullet"/>
      <w:lvlText w:val=""/>
      <w:lvlJc w:val="left"/>
      <w:pPr>
        <w:ind w:left="5676" w:hanging="360"/>
      </w:pPr>
      <w:rPr>
        <w:rFonts w:ascii="Wingdings" w:hAnsi="Wingdings" w:hint="default"/>
      </w:rPr>
    </w:lvl>
    <w:lvl w:ilvl="1" w:tplc="04020003" w:tentative="1">
      <w:start w:val="1"/>
      <w:numFmt w:val="bullet"/>
      <w:lvlText w:val="o"/>
      <w:lvlJc w:val="left"/>
      <w:pPr>
        <w:ind w:left="6396" w:hanging="360"/>
      </w:pPr>
      <w:rPr>
        <w:rFonts w:ascii="Courier New" w:hAnsi="Courier New" w:cs="Courier New" w:hint="default"/>
      </w:rPr>
    </w:lvl>
    <w:lvl w:ilvl="2" w:tplc="04020005" w:tentative="1">
      <w:start w:val="1"/>
      <w:numFmt w:val="bullet"/>
      <w:lvlText w:val=""/>
      <w:lvlJc w:val="left"/>
      <w:pPr>
        <w:ind w:left="7116" w:hanging="360"/>
      </w:pPr>
      <w:rPr>
        <w:rFonts w:ascii="Wingdings" w:hAnsi="Wingdings" w:hint="default"/>
      </w:rPr>
    </w:lvl>
    <w:lvl w:ilvl="3" w:tplc="04020001" w:tentative="1">
      <w:start w:val="1"/>
      <w:numFmt w:val="bullet"/>
      <w:lvlText w:val=""/>
      <w:lvlJc w:val="left"/>
      <w:pPr>
        <w:ind w:left="7836" w:hanging="360"/>
      </w:pPr>
      <w:rPr>
        <w:rFonts w:ascii="Symbol" w:hAnsi="Symbol" w:hint="default"/>
      </w:rPr>
    </w:lvl>
    <w:lvl w:ilvl="4" w:tplc="04020003" w:tentative="1">
      <w:start w:val="1"/>
      <w:numFmt w:val="bullet"/>
      <w:lvlText w:val="o"/>
      <w:lvlJc w:val="left"/>
      <w:pPr>
        <w:ind w:left="8556" w:hanging="360"/>
      </w:pPr>
      <w:rPr>
        <w:rFonts w:ascii="Courier New" w:hAnsi="Courier New" w:cs="Courier New" w:hint="default"/>
      </w:rPr>
    </w:lvl>
    <w:lvl w:ilvl="5" w:tplc="04020005" w:tentative="1">
      <w:start w:val="1"/>
      <w:numFmt w:val="bullet"/>
      <w:lvlText w:val=""/>
      <w:lvlJc w:val="left"/>
      <w:pPr>
        <w:ind w:left="9276" w:hanging="360"/>
      </w:pPr>
      <w:rPr>
        <w:rFonts w:ascii="Wingdings" w:hAnsi="Wingdings" w:hint="default"/>
      </w:rPr>
    </w:lvl>
    <w:lvl w:ilvl="6" w:tplc="04020001" w:tentative="1">
      <w:start w:val="1"/>
      <w:numFmt w:val="bullet"/>
      <w:lvlText w:val=""/>
      <w:lvlJc w:val="left"/>
      <w:pPr>
        <w:ind w:left="9996" w:hanging="360"/>
      </w:pPr>
      <w:rPr>
        <w:rFonts w:ascii="Symbol" w:hAnsi="Symbol" w:hint="default"/>
      </w:rPr>
    </w:lvl>
    <w:lvl w:ilvl="7" w:tplc="04020003" w:tentative="1">
      <w:start w:val="1"/>
      <w:numFmt w:val="bullet"/>
      <w:lvlText w:val="o"/>
      <w:lvlJc w:val="left"/>
      <w:pPr>
        <w:ind w:left="10716" w:hanging="360"/>
      </w:pPr>
      <w:rPr>
        <w:rFonts w:ascii="Courier New" w:hAnsi="Courier New" w:cs="Courier New" w:hint="default"/>
      </w:rPr>
    </w:lvl>
    <w:lvl w:ilvl="8" w:tplc="04020005" w:tentative="1">
      <w:start w:val="1"/>
      <w:numFmt w:val="bullet"/>
      <w:lvlText w:val=""/>
      <w:lvlJc w:val="left"/>
      <w:pPr>
        <w:ind w:left="11436" w:hanging="360"/>
      </w:pPr>
      <w:rPr>
        <w:rFonts w:ascii="Wingdings" w:hAnsi="Wingdings" w:hint="default"/>
      </w:rPr>
    </w:lvl>
  </w:abstractNum>
  <w:abstractNum w:abstractNumId="4" w15:restartNumberingAfterBreak="0">
    <w:nsid w:val="0B2125B4"/>
    <w:multiLevelType w:val="multilevel"/>
    <w:tmpl w:val="7D5224AA"/>
    <w:lvl w:ilvl="0">
      <w:numFmt w:val="bullet"/>
      <w:lvlText w:val="-"/>
      <w:lvlJc w:val="left"/>
      <w:pPr>
        <w:ind w:left="-32767" w:hanging="32486"/>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0C82018B"/>
    <w:multiLevelType w:val="hybridMultilevel"/>
    <w:tmpl w:val="A2482DFC"/>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8"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B664D"/>
    <w:multiLevelType w:val="hybridMultilevel"/>
    <w:tmpl w:val="719C0A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B6678"/>
    <w:multiLevelType w:val="hybridMultilevel"/>
    <w:tmpl w:val="A73C3DB8"/>
    <w:lvl w:ilvl="0" w:tplc="C50854E6">
      <w:numFmt w:val="bullet"/>
      <w:lvlText w:val="-"/>
      <w:lvlJc w:val="left"/>
      <w:pPr>
        <w:ind w:left="1428" w:hanging="360"/>
      </w:pPr>
      <w:rPr>
        <w:rFonts w:ascii="Calibri" w:eastAsiaTheme="minorHAnsi" w:hAnsi="Calibri" w:cs="Calibri"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36E236CB"/>
    <w:multiLevelType w:val="hybridMultilevel"/>
    <w:tmpl w:val="9C5CF38C"/>
    <w:lvl w:ilvl="0" w:tplc="EF3EE3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8" w15:restartNumberingAfterBreak="0">
    <w:nsid w:val="491C773E"/>
    <w:multiLevelType w:val="hybridMultilevel"/>
    <w:tmpl w:val="95184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14DC7"/>
    <w:multiLevelType w:val="hybridMultilevel"/>
    <w:tmpl w:val="0612223A"/>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6"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28"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9"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DC33227"/>
    <w:multiLevelType w:val="hybridMultilevel"/>
    <w:tmpl w:val="8CB0A0F4"/>
    <w:lvl w:ilvl="0" w:tplc="508681A0">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5"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7"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8"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7"/>
  </w:num>
  <w:num w:numId="3">
    <w:abstractNumId w:val="31"/>
  </w:num>
  <w:num w:numId="4">
    <w:abstractNumId w:val="11"/>
  </w:num>
  <w:num w:numId="5">
    <w:abstractNumId w:val="35"/>
  </w:num>
  <w:num w:numId="6">
    <w:abstractNumId w:val="23"/>
  </w:num>
  <w:num w:numId="7">
    <w:abstractNumId w:val="29"/>
  </w:num>
  <w:num w:numId="8">
    <w:abstractNumId w:val="21"/>
  </w:num>
  <w:num w:numId="9">
    <w:abstractNumId w:val="37"/>
  </w:num>
  <w:num w:numId="10">
    <w:abstractNumId w:val="30"/>
  </w:num>
  <w:num w:numId="11">
    <w:abstractNumId w:val="28"/>
  </w:num>
  <w:num w:numId="12">
    <w:abstractNumId w:val="39"/>
  </w:num>
  <w:num w:numId="13">
    <w:abstractNumId w:val="38"/>
  </w:num>
  <w:num w:numId="14">
    <w:abstractNumId w:val="32"/>
  </w:num>
  <w:num w:numId="15">
    <w:abstractNumId w:val="19"/>
  </w:num>
  <w:num w:numId="16">
    <w:abstractNumId w:val="8"/>
  </w:num>
  <w:num w:numId="17">
    <w:abstractNumId w:val="9"/>
  </w:num>
  <w:num w:numId="18">
    <w:abstractNumId w:val="20"/>
  </w:num>
  <w:num w:numId="19">
    <w:abstractNumId w:val="25"/>
  </w:num>
  <w:num w:numId="20">
    <w:abstractNumId w:val="34"/>
  </w:num>
  <w:num w:numId="21">
    <w:abstractNumId w:val="26"/>
  </w:num>
  <w:num w:numId="22">
    <w:abstractNumId w:val="16"/>
  </w:num>
  <w:num w:numId="23">
    <w:abstractNumId w:val="0"/>
  </w:num>
  <w:num w:numId="24">
    <w:abstractNumId w:val="2"/>
  </w:num>
  <w:num w:numId="25">
    <w:abstractNumId w:val="36"/>
  </w:num>
  <w:num w:numId="26">
    <w:abstractNumId w:val="24"/>
  </w:num>
  <w:num w:numId="27">
    <w:abstractNumId w:val="7"/>
  </w:num>
  <w:num w:numId="28">
    <w:abstractNumId w:val="15"/>
  </w:num>
  <w:num w:numId="29">
    <w:abstractNumId w:val="22"/>
  </w:num>
  <w:num w:numId="30">
    <w:abstractNumId w:val="14"/>
  </w:num>
  <w:num w:numId="31">
    <w:abstractNumId w:val="1"/>
  </w:num>
  <w:num w:numId="32">
    <w:abstractNumId w:val="18"/>
  </w:num>
  <w:num w:numId="33">
    <w:abstractNumId w:val="4"/>
  </w:num>
  <w:num w:numId="34">
    <w:abstractNumId w:val="27"/>
  </w:num>
  <w:num w:numId="35">
    <w:abstractNumId w:val="13"/>
  </w:num>
  <w:num w:numId="36">
    <w:abstractNumId w:val="3"/>
  </w:num>
  <w:num w:numId="37">
    <w:abstractNumId w:val="33"/>
  </w:num>
  <w:num w:numId="38">
    <w:abstractNumId w:val="10"/>
  </w:num>
  <w:num w:numId="39">
    <w:abstractNumId w:val="5"/>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EF0"/>
    <w:rsid w:val="00000FE1"/>
    <w:rsid w:val="000010D2"/>
    <w:rsid w:val="000013EE"/>
    <w:rsid w:val="00001580"/>
    <w:rsid w:val="000016BE"/>
    <w:rsid w:val="00001ABF"/>
    <w:rsid w:val="00001CF0"/>
    <w:rsid w:val="00002BD7"/>
    <w:rsid w:val="00002D9C"/>
    <w:rsid w:val="000033E7"/>
    <w:rsid w:val="00003489"/>
    <w:rsid w:val="00003B52"/>
    <w:rsid w:val="00004264"/>
    <w:rsid w:val="0000458F"/>
    <w:rsid w:val="00005544"/>
    <w:rsid w:val="00005A85"/>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2C07"/>
    <w:rsid w:val="0001332F"/>
    <w:rsid w:val="0001356B"/>
    <w:rsid w:val="00013677"/>
    <w:rsid w:val="00013B93"/>
    <w:rsid w:val="00013C59"/>
    <w:rsid w:val="000146EA"/>
    <w:rsid w:val="00015642"/>
    <w:rsid w:val="000158A2"/>
    <w:rsid w:val="00015C0F"/>
    <w:rsid w:val="00015D5B"/>
    <w:rsid w:val="000161C6"/>
    <w:rsid w:val="0001664B"/>
    <w:rsid w:val="00017412"/>
    <w:rsid w:val="000175C7"/>
    <w:rsid w:val="000178CA"/>
    <w:rsid w:val="00017EA1"/>
    <w:rsid w:val="0002050E"/>
    <w:rsid w:val="0002059B"/>
    <w:rsid w:val="000215BD"/>
    <w:rsid w:val="00021A5F"/>
    <w:rsid w:val="00021E5D"/>
    <w:rsid w:val="000221B7"/>
    <w:rsid w:val="00022856"/>
    <w:rsid w:val="000229E1"/>
    <w:rsid w:val="00022CAC"/>
    <w:rsid w:val="00022D9E"/>
    <w:rsid w:val="00023244"/>
    <w:rsid w:val="000233B1"/>
    <w:rsid w:val="0002351F"/>
    <w:rsid w:val="00023BF6"/>
    <w:rsid w:val="00023D31"/>
    <w:rsid w:val="00024065"/>
    <w:rsid w:val="0002444B"/>
    <w:rsid w:val="0002477E"/>
    <w:rsid w:val="0002478B"/>
    <w:rsid w:val="000249B9"/>
    <w:rsid w:val="000252F3"/>
    <w:rsid w:val="000256B4"/>
    <w:rsid w:val="00025953"/>
    <w:rsid w:val="00025F45"/>
    <w:rsid w:val="000262DF"/>
    <w:rsid w:val="00026903"/>
    <w:rsid w:val="0002693A"/>
    <w:rsid w:val="00026AD5"/>
    <w:rsid w:val="00026B67"/>
    <w:rsid w:val="00027951"/>
    <w:rsid w:val="00027B74"/>
    <w:rsid w:val="00030353"/>
    <w:rsid w:val="00030658"/>
    <w:rsid w:val="000307D3"/>
    <w:rsid w:val="000311EA"/>
    <w:rsid w:val="00031377"/>
    <w:rsid w:val="00031593"/>
    <w:rsid w:val="00031710"/>
    <w:rsid w:val="000319CB"/>
    <w:rsid w:val="000320C8"/>
    <w:rsid w:val="00032966"/>
    <w:rsid w:val="00032B7F"/>
    <w:rsid w:val="00032DE2"/>
    <w:rsid w:val="00033525"/>
    <w:rsid w:val="00033590"/>
    <w:rsid w:val="00033ACB"/>
    <w:rsid w:val="000340ED"/>
    <w:rsid w:val="00034135"/>
    <w:rsid w:val="00034396"/>
    <w:rsid w:val="00034FE3"/>
    <w:rsid w:val="0003586B"/>
    <w:rsid w:val="000359FA"/>
    <w:rsid w:val="00035F5E"/>
    <w:rsid w:val="0003621F"/>
    <w:rsid w:val="000363A8"/>
    <w:rsid w:val="0003685F"/>
    <w:rsid w:val="000369D6"/>
    <w:rsid w:val="00036A1B"/>
    <w:rsid w:val="00037141"/>
    <w:rsid w:val="000377BC"/>
    <w:rsid w:val="000378DC"/>
    <w:rsid w:val="00040164"/>
    <w:rsid w:val="000406B2"/>
    <w:rsid w:val="0004080C"/>
    <w:rsid w:val="0004098D"/>
    <w:rsid w:val="00040C20"/>
    <w:rsid w:val="000411D9"/>
    <w:rsid w:val="00041338"/>
    <w:rsid w:val="00042634"/>
    <w:rsid w:val="00042853"/>
    <w:rsid w:val="00042C1F"/>
    <w:rsid w:val="00042C9E"/>
    <w:rsid w:val="00042E57"/>
    <w:rsid w:val="0004338F"/>
    <w:rsid w:val="0004360F"/>
    <w:rsid w:val="000436DD"/>
    <w:rsid w:val="000439F5"/>
    <w:rsid w:val="00043AA0"/>
    <w:rsid w:val="00043AB2"/>
    <w:rsid w:val="00043E35"/>
    <w:rsid w:val="00043E3A"/>
    <w:rsid w:val="00044147"/>
    <w:rsid w:val="0004426E"/>
    <w:rsid w:val="00044273"/>
    <w:rsid w:val="0004481C"/>
    <w:rsid w:val="00045116"/>
    <w:rsid w:val="00045688"/>
    <w:rsid w:val="000458F0"/>
    <w:rsid w:val="000465FC"/>
    <w:rsid w:val="0004753C"/>
    <w:rsid w:val="000500CE"/>
    <w:rsid w:val="0005066A"/>
    <w:rsid w:val="00050A1B"/>
    <w:rsid w:val="00051E5E"/>
    <w:rsid w:val="00052449"/>
    <w:rsid w:val="00052485"/>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B38"/>
    <w:rsid w:val="00055DD1"/>
    <w:rsid w:val="00056221"/>
    <w:rsid w:val="00056B58"/>
    <w:rsid w:val="00056D9D"/>
    <w:rsid w:val="0005737D"/>
    <w:rsid w:val="00057886"/>
    <w:rsid w:val="00060A02"/>
    <w:rsid w:val="00060B42"/>
    <w:rsid w:val="000613BA"/>
    <w:rsid w:val="0006166E"/>
    <w:rsid w:val="00061758"/>
    <w:rsid w:val="000621DE"/>
    <w:rsid w:val="00062315"/>
    <w:rsid w:val="00062A61"/>
    <w:rsid w:val="00062A78"/>
    <w:rsid w:val="00063093"/>
    <w:rsid w:val="00063235"/>
    <w:rsid w:val="00063248"/>
    <w:rsid w:val="00063C56"/>
    <w:rsid w:val="00063CF1"/>
    <w:rsid w:val="00063E15"/>
    <w:rsid w:val="000642B9"/>
    <w:rsid w:val="00064472"/>
    <w:rsid w:val="0006477A"/>
    <w:rsid w:val="00064AF3"/>
    <w:rsid w:val="00064C44"/>
    <w:rsid w:val="00064E39"/>
    <w:rsid w:val="00064F71"/>
    <w:rsid w:val="0006584F"/>
    <w:rsid w:val="00065A46"/>
    <w:rsid w:val="00065DF8"/>
    <w:rsid w:val="000663D1"/>
    <w:rsid w:val="000666C0"/>
    <w:rsid w:val="00066EED"/>
    <w:rsid w:val="00067283"/>
    <w:rsid w:val="00067469"/>
    <w:rsid w:val="0006785C"/>
    <w:rsid w:val="0007007C"/>
    <w:rsid w:val="0007047E"/>
    <w:rsid w:val="000709C1"/>
    <w:rsid w:val="00070A97"/>
    <w:rsid w:val="00071C3B"/>
    <w:rsid w:val="00071F12"/>
    <w:rsid w:val="0007251B"/>
    <w:rsid w:val="00072C4F"/>
    <w:rsid w:val="00072D22"/>
    <w:rsid w:val="00073108"/>
    <w:rsid w:val="00073DF5"/>
    <w:rsid w:val="00074744"/>
    <w:rsid w:val="00074B7D"/>
    <w:rsid w:val="000751C1"/>
    <w:rsid w:val="00075256"/>
    <w:rsid w:val="0007526B"/>
    <w:rsid w:val="000756FB"/>
    <w:rsid w:val="00075BB9"/>
    <w:rsid w:val="00076462"/>
    <w:rsid w:val="000768B3"/>
    <w:rsid w:val="00076B59"/>
    <w:rsid w:val="000801C8"/>
    <w:rsid w:val="00080AB2"/>
    <w:rsid w:val="00080EF5"/>
    <w:rsid w:val="0008155D"/>
    <w:rsid w:val="0008165A"/>
    <w:rsid w:val="000816C0"/>
    <w:rsid w:val="000819F9"/>
    <w:rsid w:val="00081AFD"/>
    <w:rsid w:val="00082392"/>
    <w:rsid w:val="00082679"/>
    <w:rsid w:val="000827A4"/>
    <w:rsid w:val="000829EB"/>
    <w:rsid w:val="00082BD9"/>
    <w:rsid w:val="00082F40"/>
    <w:rsid w:val="0008327E"/>
    <w:rsid w:val="000832E5"/>
    <w:rsid w:val="000833A2"/>
    <w:rsid w:val="0008357F"/>
    <w:rsid w:val="000853B1"/>
    <w:rsid w:val="00085704"/>
    <w:rsid w:val="00085734"/>
    <w:rsid w:val="00085B96"/>
    <w:rsid w:val="00085E01"/>
    <w:rsid w:val="00085E1A"/>
    <w:rsid w:val="0008683D"/>
    <w:rsid w:val="00086A8E"/>
    <w:rsid w:val="00086FA7"/>
    <w:rsid w:val="00087295"/>
    <w:rsid w:val="0008745A"/>
    <w:rsid w:val="000878C4"/>
    <w:rsid w:val="00087924"/>
    <w:rsid w:val="00087ED6"/>
    <w:rsid w:val="0009002F"/>
    <w:rsid w:val="000900E3"/>
    <w:rsid w:val="000901EA"/>
    <w:rsid w:val="000902B5"/>
    <w:rsid w:val="00090D1D"/>
    <w:rsid w:val="00091196"/>
    <w:rsid w:val="00091BCE"/>
    <w:rsid w:val="00092F7D"/>
    <w:rsid w:val="000931C8"/>
    <w:rsid w:val="000937AB"/>
    <w:rsid w:val="000937E0"/>
    <w:rsid w:val="00093CFC"/>
    <w:rsid w:val="00093D60"/>
    <w:rsid w:val="00093F6F"/>
    <w:rsid w:val="000943E4"/>
    <w:rsid w:val="000949D3"/>
    <w:rsid w:val="00094A6C"/>
    <w:rsid w:val="00094A78"/>
    <w:rsid w:val="00095164"/>
    <w:rsid w:val="0009519B"/>
    <w:rsid w:val="00095288"/>
    <w:rsid w:val="000959DC"/>
    <w:rsid w:val="00095EF0"/>
    <w:rsid w:val="0009743A"/>
    <w:rsid w:val="00097C52"/>
    <w:rsid w:val="000A052A"/>
    <w:rsid w:val="000A09BA"/>
    <w:rsid w:val="000A09E4"/>
    <w:rsid w:val="000A10E1"/>
    <w:rsid w:val="000A301B"/>
    <w:rsid w:val="000A3426"/>
    <w:rsid w:val="000A3F57"/>
    <w:rsid w:val="000A4432"/>
    <w:rsid w:val="000A5B32"/>
    <w:rsid w:val="000A6E4D"/>
    <w:rsid w:val="000A7446"/>
    <w:rsid w:val="000A7841"/>
    <w:rsid w:val="000B0616"/>
    <w:rsid w:val="000B0815"/>
    <w:rsid w:val="000B09E5"/>
    <w:rsid w:val="000B0BED"/>
    <w:rsid w:val="000B0CE6"/>
    <w:rsid w:val="000B11FB"/>
    <w:rsid w:val="000B175F"/>
    <w:rsid w:val="000B1A24"/>
    <w:rsid w:val="000B1E59"/>
    <w:rsid w:val="000B25CC"/>
    <w:rsid w:val="000B2CBE"/>
    <w:rsid w:val="000B330C"/>
    <w:rsid w:val="000B3826"/>
    <w:rsid w:val="000B460F"/>
    <w:rsid w:val="000B474D"/>
    <w:rsid w:val="000B49EE"/>
    <w:rsid w:val="000B4C03"/>
    <w:rsid w:val="000B5123"/>
    <w:rsid w:val="000B52FA"/>
    <w:rsid w:val="000B5F1E"/>
    <w:rsid w:val="000B62C7"/>
    <w:rsid w:val="000B64BA"/>
    <w:rsid w:val="000B66E8"/>
    <w:rsid w:val="000B67EA"/>
    <w:rsid w:val="000B6D3A"/>
    <w:rsid w:val="000B7234"/>
    <w:rsid w:val="000B7447"/>
    <w:rsid w:val="000B75C1"/>
    <w:rsid w:val="000B7C4F"/>
    <w:rsid w:val="000B7E66"/>
    <w:rsid w:val="000C019B"/>
    <w:rsid w:val="000C06FE"/>
    <w:rsid w:val="000C0A44"/>
    <w:rsid w:val="000C0FA1"/>
    <w:rsid w:val="000C13A5"/>
    <w:rsid w:val="000C244E"/>
    <w:rsid w:val="000C2FAC"/>
    <w:rsid w:val="000C3451"/>
    <w:rsid w:val="000C3D73"/>
    <w:rsid w:val="000C4760"/>
    <w:rsid w:val="000C4CBB"/>
    <w:rsid w:val="000C56B9"/>
    <w:rsid w:val="000C5ACF"/>
    <w:rsid w:val="000C5C6D"/>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2F"/>
    <w:rsid w:val="000D0538"/>
    <w:rsid w:val="000D06A6"/>
    <w:rsid w:val="000D0AB1"/>
    <w:rsid w:val="000D0EA5"/>
    <w:rsid w:val="000D13E1"/>
    <w:rsid w:val="000D23F8"/>
    <w:rsid w:val="000D2516"/>
    <w:rsid w:val="000D26D5"/>
    <w:rsid w:val="000D2B33"/>
    <w:rsid w:val="000D2BE7"/>
    <w:rsid w:val="000D3407"/>
    <w:rsid w:val="000D3942"/>
    <w:rsid w:val="000D3FA7"/>
    <w:rsid w:val="000D4203"/>
    <w:rsid w:val="000D46FD"/>
    <w:rsid w:val="000D46FF"/>
    <w:rsid w:val="000D49F5"/>
    <w:rsid w:val="000D4BEB"/>
    <w:rsid w:val="000D4CF8"/>
    <w:rsid w:val="000D5449"/>
    <w:rsid w:val="000D5722"/>
    <w:rsid w:val="000D5EE2"/>
    <w:rsid w:val="000D6D92"/>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2BF2"/>
    <w:rsid w:val="000E39DF"/>
    <w:rsid w:val="000E3BA7"/>
    <w:rsid w:val="000E3CDC"/>
    <w:rsid w:val="000E4599"/>
    <w:rsid w:val="000E4CFE"/>
    <w:rsid w:val="000E4EB4"/>
    <w:rsid w:val="000E5205"/>
    <w:rsid w:val="000E5295"/>
    <w:rsid w:val="000E5483"/>
    <w:rsid w:val="000E5835"/>
    <w:rsid w:val="000E5EE9"/>
    <w:rsid w:val="000E632B"/>
    <w:rsid w:val="000E6968"/>
    <w:rsid w:val="000E69D1"/>
    <w:rsid w:val="000E76B3"/>
    <w:rsid w:val="000E773D"/>
    <w:rsid w:val="000E7A9A"/>
    <w:rsid w:val="000F04F4"/>
    <w:rsid w:val="000F0BD7"/>
    <w:rsid w:val="000F1488"/>
    <w:rsid w:val="000F1EB1"/>
    <w:rsid w:val="000F26DE"/>
    <w:rsid w:val="000F32E9"/>
    <w:rsid w:val="000F33BF"/>
    <w:rsid w:val="000F3534"/>
    <w:rsid w:val="000F3A6E"/>
    <w:rsid w:val="000F3EA1"/>
    <w:rsid w:val="000F4571"/>
    <w:rsid w:val="000F47A8"/>
    <w:rsid w:val="000F4AE4"/>
    <w:rsid w:val="000F4DCA"/>
    <w:rsid w:val="000F5080"/>
    <w:rsid w:val="000F57CC"/>
    <w:rsid w:val="000F5EC6"/>
    <w:rsid w:val="000F5EF4"/>
    <w:rsid w:val="000F5F76"/>
    <w:rsid w:val="000F6599"/>
    <w:rsid w:val="000F68AF"/>
    <w:rsid w:val="000F6975"/>
    <w:rsid w:val="000F6B35"/>
    <w:rsid w:val="000F7FBA"/>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58B"/>
    <w:rsid w:val="00103852"/>
    <w:rsid w:val="00103BC3"/>
    <w:rsid w:val="0010424C"/>
    <w:rsid w:val="00104331"/>
    <w:rsid w:val="001046B0"/>
    <w:rsid w:val="00104BB5"/>
    <w:rsid w:val="00104ED0"/>
    <w:rsid w:val="0010539A"/>
    <w:rsid w:val="001053A6"/>
    <w:rsid w:val="00106009"/>
    <w:rsid w:val="00106081"/>
    <w:rsid w:val="0010649F"/>
    <w:rsid w:val="00106702"/>
    <w:rsid w:val="0010683E"/>
    <w:rsid w:val="00106E64"/>
    <w:rsid w:val="00107065"/>
    <w:rsid w:val="00107258"/>
    <w:rsid w:val="0010743D"/>
    <w:rsid w:val="00107498"/>
    <w:rsid w:val="001077FA"/>
    <w:rsid w:val="00107C9F"/>
    <w:rsid w:val="00107F93"/>
    <w:rsid w:val="00110036"/>
    <w:rsid w:val="0011054D"/>
    <w:rsid w:val="00110E74"/>
    <w:rsid w:val="0011244D"/>
    <w:rsid w:val="00112882"/>
    <w:rsid w:val="00112CAC"/>
    <w:rsid w:val="00112E96"/>
    <w:rsid w:val="00113FD8"/>
    <w:rsid w:val="00114D25"/>
    <w:rsid w:val="00114D27"/>
    <w:rsid w:val="00114DE5"/>
    <w:rsid w:val="00116AF1"/>
    <w:rsid w:val="00116D77"/>
    <w:rsid w:val="001173BA"/>
    <w:rsid w:val="001179C1"/>
    <w:rsid w:val="00117A49"/>
    <w:rsid w:val="00117C68"/>
    <w:rsid w:val="00117CA6"/>
    <w:rsid w:val="001202E6"/>
    <w:rsid w:val="00120BC1"/>
    <w:rsid w:val="00120CC7"/>
    <w:rsid w:val="00120DB2"/>
    <w:rsid w:val="00121946"/>
    <w:rsid w:val="00122BBB"/>
    <w:rsid w:val="00122ECB"/>
    <w:rsid w:val="00122F3A"/>
    <w:rsid w:val="00122FCA"/>
    <w:rsid w:val="00123862"/>
    <w:rsid w:val="00123B59"/>
    <w:rsid w:val="00123CED"/>
    <w:rsid w:val="00123E2A"/>
    <w:rsid w:val="00124548"/>
    <w:rsid w:val="00124777"/>
    <w:rsid w:val="00124FAC"/>
    <w:rsid w:val="00124FB9"/>
    <w:rsid w:val="00125B7A"/>
    <w:rsid w:val="001260AA"/>
    <w:rsid w:val="0012638C"/>
    <w:rsid w:val="001264C3"/>
    <w:rsid w:val="00126707"/>
    <w:rsid w:val="00126805"/>
    <w:rsid w:val="001269AE"/>
    <w:rsid w:val="00127D25"/>
    <w:rsid w:val="001301B6"/>
    <w:rsid w:val="001305A6"/>
    <w:rsid w:val="00131B05"/>
    <w:rsid w:val="00132423"/>
    <w:rsid w:val="00132AD1"/>
    <w:rsid w:val="00132CE0"/>
    <w:rsid w:val="00133013"/>
    <w:rsid w:val="00133033"/>
    <w:rsid w:val="0013308F"/>
    <w:rsid w:val="00133183"/>
    <w:rsid w:val="00133478"/>
    <w:rsid w:val="00133644"/>
    <w:rsid w:val="001342F2"/>
    <w:rsid w:val="0013522E"/>
    <w:rsid w:val="0013588C"/>
    <w:rsid w:val="00135A23"/>
    <w:rsid w:val="00135E92"/>
    <w:rsid w:val="0013684B"/>
    <w:rsid w:val="00136893"/>
    <w:rsid w:val="00136C08"/>
    <w:rsid w:val="00136DA4"/>
    <w:rsid w:val="001371FA"/>
    <w:rsid w:val="0013776C"/>
    <w:rsid w:val="001400F3"/>
    <w:rsid w:val="00140F18"/>
    <w:rsid w:val="00140F61"/>
    <w:rsid w:val="0014108F"/>
    <w:rsid w:val="00141B03"/>
    <w:rsid w:val="001423F5"/>
    <w:rsid w:val="00142979"/>
    <w:rsid w:val="00142ABD"/>
    <w:rsid w:val="00142EDB"/>
    <w:rsid w:val="00143002"/>
    <w:rsid w:val="001434EA"/>
    <w:rsid w:val="00143564"/>
    <w:rsid w:val="00143814"/>
    <w:rsid w:val="001445AC"/>
    <w:rsid w:val="00144B67"/>
    <w:rsid w:val="00144BF2"/>
    <w:rsid w:val="0014585D"/>
    <w:rsid w:val="00145944"/>
    <w:rsid w:val="00145AD1"/>
    <w:rsid w:val="001462A0"/>
    <w:rsid w:val="00146314"/>
    <w:rsid w:val="001466F3"/>
    <w:rsid w:val="00146C11"/>
    <w:rsid w:val="00146E51"/>
    <w:rsid w:val="00147195"/>
    <w:rsid w:val="00147C2A"/>
    <w:rsid w:val="00150706"/>
    <w:rsid w:val="00150793"/>
    <w:rsid w:val="00150D38"/>
    <w:rsid w:val="00151260"/>
    <w:rsid w:val="001514CB"/>
    <w:rsid w:val="00151757"/>
    <w:rsid w:val="00151FC1"/>
    <w:rsid w:val="00152672"/>
    <w:rsid w:val="001528EE"/>
    <w:rsid w:val="00152B9C"/>
    <w:rsid w:val="00153077"/>
    <w:rsid w:val="001535F3"/>
    <w:rsid w:val="00153CA6"/>
    <w:rsid w:val="00153DF3"/>
    <w:rsid w:val="00154247"/>
    <w:rsid w:val="001543D7"/>
    <w:rsid w:val="00154B29"/>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A42"/>
    <w:rsid w:val="00160C5B"/>
    <w:rsid w:val="00160EC6"/>
    <w:rsid w:val="0016116C"/>
    <w:rsid w:val="0016122A"/>
    <w:rsid w:val="0016140B"/>
    <w:rsid w:val="00161F90"/>
    <w:rsid w:val="001623A2"/>
    <w:rsid w:val="00162F68"/>
    <w:rsid w:val="00163645"/>
    <w:rsid w:val="00164220"/>
    <w:rsid w:val="001643F8"/>
    <w:rsid w:val="00164961"/>
    <w:rsid w:val="00164FAD"/>
    <w:rsid w:val="0016560A"/>
    <w:rsid w:val="00165DB5"/>
    <w:rsid w:val="00165FF0"/>
    <w:rsid w:val="00166023"/>
    <w:rsid w:val="001663F9"/>
    <w:rsid w:val="001668BD"/>
    <w:rsid w:val="001671E2"/>
    <w:rsid w:val="00167822"/>
    <w:rsid w:val="00167D64"/>
    <w:rsid w:val="0017086C"/>
    <w:rsid w:val="00170EFE"/>
    <w:rsid w:val="00171333"/>
    <w:rsid w:val="00171F8E"/>
    <w:rsid w:val="0017216E"/>
    <w:rsid w:val="001721EA"/>
    <w:rsid w:val="0017293F"/>
    <w:rsid w:val="00172AEE"/>
    <w:rsid w:val="00172CB7"/>
    <w:rsid w:val="00173987"/>
    <w:rsid w:val="00173C2D"/>
    <w:rsid w:val="00174441"/>
    <w:rsid w:val="0017483F"/>
    <w:rsid w:val="00174C24"/>
    <w:rsid w:val="0017545F"/>
    <w:rsid w:val="00175494"/>
    <w:rsid w:val="00175539"/>
    <w:rsid w:val="00175890"/>
    <w:rsid w:val="00175E50"/>
    <w:rsid w:val="00176340"/>
    <w:rsid w:val="00176403"/>
    <w:rsid w:val="00176AE7"/>
    <w:rsid w:val="00176CB6"/>
    <w:rsid w:val="00176E98"/>
    <w:rsid w:val="00177307"/>
    <w:rsid w:val="001800D1"/>
    <w:rsid w:val="00180811"/>
    <w:rsid w:val="001808E6"/>
    <w:rsid w:val="00180AEF"/>
    <w:rsid w:val="0018154E"/>
    <w:rsid w:val="00181857"/>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091"/>
    <w:rsid w:val="00184502"/>
    <w:rsid w:val="0018452B"/>
    <w:rsid w:val="001845D5"/>
    <w:rsid w:val="001846D1"/>
    <w:rsid w:val="00184DF2"/>
    <w:rsid w:val="001850C5"/>
    <w:rsid w:val="0018526D"/>
    <w:rsid w:val="001858CD"/>
    <w:rsid w:val="00185A12"/>
    <w:rsid w:val="00185BF6"/>
    <w:rsid w:val="00185D08"/>
    <w:rsid w:val="00186536"/>
    <w:rsid w:val="001869BB"/>
    <w:rsid w:val="00186C81"/>
    <w:rsid w:val="00186DF9"/>
    <w:rsid w:val="00187AC9"/>
    <w:rsid w:val="00187C31"/>
    <w:rsid w:val="00190983"/>
    <w:rsid w:val="0019151C"/>
    <w:rsid w:val="00191AA6"/>
    <w:rsid w:val="00191AB6"/>
    <w:rsid w:val="00191B55"/>
    <w:rsid w:val="00191EC8"/>
    <w:rsid w:val="00191F79"/>
    <w:rsid w:val="0019213B"/>
    <w:rsid w:val="0019232E"/>
    <w:rsid w:val="0019239F"/>
    <w:rsid w:val="001924F6"/>
    <w:rsid w:val="00192A2C"/>
    <w:rsid w:val="00192CDB"/>
    <w:rsid w:val="00192F6E"/>
    <w:rsid w:val="00193D9B"/>
    <w:rsid w:val="00193F20"/>
    <w:rsid w:val="0019413C"/>
    <w:rsid w:val="001941E4"/>
    <w:rsid w:val="00194AF7"/>
    <w:rsid w:val="00194C1F"/>
    <w:rsid w:val="001953AC"/>
    <w:rsid w:val="00195517"/>
    <w:rsid w:val="00195B15"/>
    <w:rsid w:val="00195BE8"/>
    <w:rsid w:val="00195CF2"/>
    <w:rsid w:val="00195E11"/>
    <w:rsid w:val="00195F99"/>
    <w:rsid w:val="00195FB3"/>
    <w:rsid w:val="001965AA"/>
    <w:rsid w:val="0019667B"/>
    <w:rsid w:val="001968E4"/>
    <w:rsid w:val="001971AE"/>
    <w:rsid w:val="00197278"/>
    <w:rsid w:val="00197392"/>
    <w:rsid w:val="00197764"/>
    <w:rsid w:val="00197EC3"/>
    <w:rsid w:val="00197FB1"/>
    <w:rsid w:val="001A043C"/>
    <w:rsid w:val="001A0601"/>
    <w:rsid w:val="001A0BB0"/>
    <w:rsid w:val="001A1837"/>
    <w:rsid w:val="001A1C51"/>
    <w:rsid w:val="001A236F"/>
    <w:rsid w:val="001A28BA"/>
    <w:rsid w:val="001A3051"/>
    <w:rsid w:val="001A3387"/>
    <w:rsid w:val="001A4493"/>
    <w:rsid w:val="001A4589"/>
    <w:rsid w:val="001A5350"/>
    <w:rsid w:val="001A5398"/>
    <w:rsid w:val="001A5553"/>
    <w:rsid w:val="001A59AF"/>
    <w:rsid w:val="001A6777"/>
    <w:rsid w:val="001A6D21"/>
    <w:rsid w:val="001A718A"/>
    <w:rsid w:val="001A718F"/>
    <w:rsid w:val="001A75B9"/>
    <w:rsid w:val="001A7DC2"/>
    <w:rsid w:val="001B09A8"/>
    <w:rsid w:val="001B0A90"/>
    <w:rsid w:val="001B18C3"/>
    <w:rsid w:val="001B1C70"/>
    <w:rsid w:val="001B20E4"/>
    <w:rsid w:val="001B29F9"/>
    <w:rsid w:val="001B2D1F"/>
    <w:rsid w:val="001B2FCD"/>
    <w:rsid w:val="001B3285"/>
    <w:rsid w:val="001B370A"/>
    <w:rsid w:val="001B39DD"/>
    <w:rsid w:val="001B3BA9"/>
    <w:rsid w:val="001B3E1C"/>
    <w:rsid w:val="001B4165"/>
    <w:rsid w:val="001B427B"/>
    <w:rsid w:val="001B44DB"/>
    <w:rsid w:val="001B4640"/>
    <w:rsid w:val="001B5EA6"/>
    <w:rsid w:val="001B72FB"/>
    <w:rsid w:val="001C0277"/>
    <w:rsid w:val="001C0F05"/>
    <w:rsid w:val="001C1040"/>
    <w:rsid w:val="001C110F"/>
    <w:rsid w:val="001C129D"/>
    <w:rsid w:val="001C15B0"/>
    <w:rsid w:val="001C1A52"/>
    <w:rsid w:val="001C239A"/>
    <w:rsid w:val="001C2EE5"/>
    <w:rsid w:val="001C395A"/>
    <w:rsid w:val="001C3A25"/>
    <w:rsid w:val="001C3B3F"/>
    <w:rsid w:val="001C486C"/>
    <w:rsid w:val="001C4B35"/>
    <w:rsid w:val="001C4CCF"/>
    <w:rsid w:val="001C501A"/>
    <w:rsid w:val="001C5CC2"/>
    <w:rsid w:val="001C61DB"/>
    <w:rsid w:val="001C6573"/>
    <w:rsid w:val="001C6BA6"/>
    <w:rsid w:val="001C726D"/>
    <w:rsid w:val="001C7418"/>
    <w:rsid w:val="001C78CA"/>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A4E"/>
    <w:rsid w:val="001D5D9A"/>
    <w:rsid w:val="001D6081"/>
    <w:rsid w:val="001D6B29"/>
    <w:rsid w:val="001D6F2E"/>
    <w:rsid w:val="001D71BC"/>
    <w:rsid w:val="001D7346"/>
    <w:rsid w:val="001D755A"/>
    <w:rsid w:val="001E0367"/>
    <w:rsid w:val="001E094C"/>
    <w:rsid w:val="001E0FF6"/>
    <w:rsid w:val="001E11E2"/>
    <w:rsid w:val="001E11F6"/>
    <w:rsid w:val="001E14CF"/>
    <w:rsid w:val="001E1857"/>
    <w:rsid w:val="001E2231"/>
    <w:rsid w:val="001E27FB"/>
    <w:rsid w:val="001E2B1A"/>
    <w:rsid w:val="001E2DE0"/>
    <w:rsid w:val="001E2FB8"/>
    <w:rsid w:val="001E3485"/>
    <w:rsid w:val="001E34D7"/>
    <w:rsid w:val="001E373E"/>
    <w:rsid w:val="001E3753"/>
    <w:rsid w:val="001E383E"/>
    <w:rsid w:val="001E4011"/>
    <w:rsid w:val="001E4060"/>
    <w:rsid w:val="001E4456"/>
    <w:rsid w:val="001E44C8"/>
    <w:rsid w:val="001E4518"/>
    <w:rsid w:val="001E467A"/>
    <w:rsid w:val="001E4E88"/>
    <w:rsid w:val="001E4FFF"/>
    <w:rsid w:val="001E5747"/>
    <w:rsid w:val="001E5BEE"/>
    <w:rsid w:val="001E619D"/>
    <w:rsid w:val="001E6889"/>
    <w:rsid w:val="001E68EE"/>
    <w:rsid w:val="001E751C"/>
    <w:rsid w:val="001E77C4"/>
    <w:rsid w:val="001E7EA4"/>
    <w:rsid w:val="001F00B7"/>
    <w:rsid w:val="001F1092"/>
    <w:rsid w:val="001F18AA"/>
    <w:rsid w:val="001F1E88"/>
    <w:rsid w:val="001F200A"/>
    <w:rsid w:val="001F2337"/>
    <w:rsid w:val="001F2FB5"/>
    <w:rsid w:val="001F367C"/>
    <w:rsid w:val="001F4EB9"/>
    <w:rsid w:val="001F4FD4"/>
    <w:rsid w:val="001F4FDB"/>
    <w:rsid w:val="001F540A"/>
    <w:rsid w:val="001F58AB"/>
    <w:rsid w:val="001F5D2F"/>
    <w:rsid w:val="001F5E20"/>
    <w:rsid w:val="001F5FA3"/>
    <w:rsid w:val="001F60AC"/>
    <w:rsid w:val="001F6E1E"/>
    <w:rsid w:val="001F6F0C"/>
    <w:rsid w:val="001F73E9"/>
    <w:rsid w:val="001F74B9"/>
    <w:rsid w:val="001F7F82"/>
    <w:rsid w:val="002002AA"/>
    <w:rsid w:val="002003C3"/>
    <w:rsid w:val="00200D50"/>
    <w:rsid w:val="002019D1"/>
    <w:rsid w:val="00201E8F"/>
    <w:rsid w:val="002023B3"/>
    <w:rsid w:val="00202CDB"/>
    <w:rsid w:val="00203052"/>
    <w:rsid w:val="0020342F"/>
    <w:rsid w:val="002034CC"/>
    <w:rsid w:val="00204381"/>
    <w:rsid w:val="002045FE"/>
    <w:rsid w:val="00204779"/>
    <w:rsid w:val="00204799"/>
    <w:rsid w:val="00204B8D"/>
    <w:rsid w:val="00204EBE"/>
    <w:rsid w:val="002051EA"/>
    <w:rsid w:val="00205B05"/>
    <w:rsid w:val="00205B8D"/>
    <w:rsid w:val="002060C2"/>
    <w:rsid w:val="00206D91"/>
    <w:rsid w:val="00207674"/>
    <w:rsid w:val="002076D5"/>
    <w:rsid w:val="00207C9E"/>
    <w:rsid w:val="002111F3"/>
    <w:rsid w:val="002117F4"/>
    <w:rsid w:val="002118E8"/>
    <w:rsid w:val="00212024"/>
    <w:rsid w:val="00212116"/>
    <w:rsid w:val="00212798"/>
    <w:rsid w:val="00212E9C"/>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BAF"/>
    <w:rsid w:val="00216C9A"/>
    <w:rsid w:val="00216D51"/>
    <w:rsid w:val="00217096"/>
    <w:rsid w:val="00217C7A"/>
    <w:rsid w:val="00217E93"/>
    <w:rsid w:val="00217FC2"/>
    <w:rsid w:val="00220265"/>
    <w:rsid w:val="0022027B"/>
    <w:rsid w:val="00220699"/>
    <w:rsid w:val="002208E8"/>
    <w:rsid w:val="00220CF8"/>
    <w:rsid w:val="00220D8D"/>
    <w:rsid w:val="0022151A"/>
    <w:rsid w:val="002215FD"/>
    <w:rsid w:val="002216C7"/>
    <w:rsid w:val="00221E48"/>
    <w:rsid w:val="00222173"/>
    <w:rsid w:val="00222228"/>
    <w:rsid w:val="00222370"/>
    <w:rsid w:val="00222CBD"/>
    <w:rsid w:val="00223892"/>
    <w:rsid w:val="00223940"/>
    <w:rsid w:val="00223F09"/>
    <w:rsid w:val="002245C8"/>
    <w:rsid w:val="0022465E"/>
    <w:rsid w:val="00224A58"/>
    <w:rsid w:val="00225164"/>
    <w:rsid w:val="00225168"/>
    <w:rsid w:val="002265B3"/>
    <w:rsid w:val="0023041D"/>
    <w:rsid w:val="002309A6"/>
    <w:rsid w:val="00231057"/>
    <w:rsid w:val="00231363"/>
    <w:rsid w:val="00231385"/>
    <w:rsid w:val="002316E9"/>
    <w:rsid w:val="002323BA"/>
    <w:rsid w:val="0023269D"/>
    <w:rsid w:val="002326C1"/>
    <w:rsid w:val="00232A8A"/>
    <w:rsid w:val="00233032"/>
    <w:rsid w:val="002332F7"/>
    <w:rsid w:val="00233986"/>
    <w:rsid w:val="00233D50"/>
    <w:rsid w:val="00234372"/>
    <w:rsid w:val="002346A5"/>
    <w:rsid w:val="002346FD"/>
    <w:rsid w:val="00234798"/>
    <w:rsid w:val="00236146"/>
    <w:rsid w:val="00240C3D"/>
    <w:rsid w:val="00240D9B"/>
    <w:rsid w:val="002413A5"/>
    <w:rsid w:val="00241466"/>
    <w:rsid w:val="00241E93"/>
    <w:rsid w:val="00241F56"/>
    <w:rsid w:val="00242143"/>
    <w:rsid w:val="002421FC"/>
    <w:rsid w:val="00242676"/>
    <w:rsid w:val="002433B0"/>
    <w:rsid w:val="00243641"/>
    <w:rsid w:val="00243BE3"/>
    <w:rsid w:val="0024415B"/>
    <w:rsid w:val="00244642"/>
    <w:rsid w:val="00244D15"/>
    <w:rsid w:val="00244E1B"/>
    <w:rsid w:val="00245445"/>
    <w:rsid w:val="00245474"/>
    <w:rsid w:val="002462FC"/>
    <w:rsid w:val="00246417"/>
    <w:rsid w:val="00246916"/>
    <w:rsid w:val="00247270"/>
    <w:rsid w:val="0024752F"/>
    <w:rsid w:val="00247C3E"/>
    <w:rsid w:val="002500E6"/>
    <w:rsid w:val="00250178"/>
    <w:rsid w:val="00250302"/>
    <w:rsid w:val="002503BA"/>
    <w:rsid w:val="002509DA"/>
    <w:rsid w:val="00251005"/>
    <w:rsid w:val="0025173F"/>
    <w:rsid w:val="00251963"/>
    <w:rsid w:val="00251F57"/>
    <w:rsid w:val="0025220D"/>
    <w:rsid w:val="00252266"/>
    <w:rsid w:val="002529E3"/>
    <w:rsid w:val="00252E78"/>
    <w:rsid w:val="00252F17"/>
    <w:rsid w:val="00253194"/>
    <w:rsid w:val="00253516"/>
    <w:rsid w:val="0025359A"/>
    <w:rsid w:val="002539F9"/>
    <w:rsid w:val="00253D47"/>
    <w:rsid w:val="002545AB"/>
    <w:rsid w:val="00254667"/>
    <w:rsid w:val="0025469B"/>
    <w:rsid w:val="00254BBE"/>
    <w:rsid w:val="00254DAC"/>
    <w:rsid w:val="00254F00"/>
    <w:rsid w:val="00255101"/>
    <w:rsid w:val="002552B6"/>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639"/>
    <w:rsid w:val="00260847"/>
    <w:rsid w:val="00261653"/>
    <w:rsid w:val="0026189C"/>
    <w:rsid w:val="002622CC"/>
    <w:rsid w:val="00262391"/>
    <w:rsid w:val="0026368D"/>
    <w:rsid w:val="00263A27"/>
    <w:rsid w:val="0026424C"/>
    <w:rsid w:val="002642FC"/>
    <w:rsid w:val="0026495C"/>
    <w:rsid w:val="00264FA8"/>
    <w:rsid w:val="0026544D"/>
    <w:rsid w:val="00265FB5"/>
    <w:rsid w:val="002669B6"/>
    <w:rsid w:val="00266AF5"/>
    <w:rsid w:val="00266D04"/>
    <w:rsid w:val="002672C4"/>
    <w:rsid w:val="002674FC"/>
    <w:rsid w:val="00267867"/>
    <w:rsid w:val="002701ED"/>
    <w:rsid w:val="0027076E"/>
    <w:rsid w:val="00270FD8"/>
    <w:rsid w:val="002715E5"/>
    <w:rsid w:val="00271642"/>
    <w:rsid w:val="00271A30"/>
    <w:rsid w:val="00271AF4"/>
    <w:rsid w:val="00272747"/>
    <w:rsid w:val="00272812"/>
    <w:rsid w:val="002730E6"/>
    <w:rsid w:val="00273557"/>
    <w:rsid w:val="00273AF1"/>
    <w:rsid w:val="00273EB1"/>
    <w:rsid w:val="002742C4"/>
    <w:rsid w:val="002744A6"/>
    <w:rsid w:val="002745D1"/>
    <w:rsid w:val="0027478C"/>
    <w:rsid w:val="002747FE"/>
    <w:rsid w:val="0027499D"/>
    <w:rsid w:val="002749F4"/>
    <w:rsid w:val="00274CEA"/>
    <w:rsid w:val="00275441"/>
    <w:rsid w:val="00275BE1"/>
    <w:rsid w:val="002763DB"/>
    <w:rsid w:val="00276E87"/>
    <w:rsid w:val="00277842"/>
    <w:rsid w:val="00277E99"/>
    <w:rsid w:val="00280101"/>
    <w:rsid w:val="00280569"/>
    <w:rsid w:val="0028159B"/>
    <w:rsid w:val="002822BC"/>
    <w:rsid w:val="00282934"/>
    <w:rsid w:val="00283343"/>
    <w:rsid w:val="00283475"/>
    <w:rsid w:val="0028376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6C29"/>
    <w:rsid w:val="00287643"/>
    <w:rsid w:val="00287F6C"/>
    <w:rsid w:val="002900F3"/>
    <w:rsid w:val="00290163"/>
    <w:rsid w:val="002907AE"/>
    <w:rsid w:val="002907DC"/>
    <w:rsid w:val="00290876"/>
    <w:rsid w:val="00290C55"/>
    <w:rsid w:val="00290EE6"/>
    <w:rsid w:val="00291FA2"/>
    <w:rsid w:val="0029281E"/>
    <w:rsid w:val="00292821"/>
    <w:rsid w:val="00292884"/>
    <w:rsid w:val="00292971"/>
    <w:rsid w:val="00292EC1"/>
    <w:rsid w:val="00293051"/>
    <w:rsid w:val="00293385"/>
    <w:rsid w:val="0029338A"/>
    <w:rsid w:val="002939EB"/>
    <w:rsid w:val="00293D1E"/>
    <w:rsid w:val="00294726"/>
    <w:rsid w:val="0029481A"/>
    <w:rsid w:val="00294B02"/>
    <w:rsid w:val="00294C99"/>
    <w:rsid w:val="00294D83"/>
    <w:rsid w:val="00295917"/>
    <w:rsid w:val="0029593D"/>
    <w:rsid w:val="00295C97"/>
    <w:rsid w:val="002961BB"/>
    <w:rsid w:val="002968B1"/>
    <w:rsid w:val="002968FE"/>
    <w:rsid w:val="00296AE1"/>
    <w:rsid w:val="00296F46"/>
    <w:rsid w:val="0029717D"/>
    <w:rsid w:val="00297C07"/>
    <w:rsid w:val="002A1277"/>
    <w:rsid w:val="002A1772"/>
    <w:rsid w:val="002A204B"/>
    <w:rsid w:val="002A2161"/>
    <w:rsid w:val="002A29F2"/>
    <w:rsid w:val="002A2B0F"/>
    <w:rsid w:val="002A3BD8"/>
    <w:rsid w:val="002A3C2E"/>
    <w:rsid w:val="002A4706"/>
    <w:rsid w:val="002A4845"/>
    <w:rsid w:val="002A4F45"/>
    <w:rsid w:val="002A50A9"/>
    <w:rsid w:val="002A511F"/>
    <w:rsid w:val="002A5F57"/>
    <w:rsid w:val="002A6CBF"/>
    <w:rsid w:val="002A6D63"/>
    <w:rsid w:val="002A7048"/>
    <w:rsid w:val="002A70B7"/>
    <w:rsid w:val="002A748F"/>
    <w:rsid w:val="002A75E8"/>
    <w:rsid w:val="002B0238"/>
    <w:rsid w:val="002B02E8"/>
    <w:rsid w:val="002B0384"/>
    <w:rsid w:val="002B050C"/>
    <w:rsid w:val="002B1377"/>
    <w:rsid w:val="002B14CD"/>
    <w:rsid w:val="002B185D"/>
    <w:rsid w:val="002B2304"/>
    <w:rsid w:val="002B25B2"/>
    <w:rsid w:val="002B25DE"/>
    <w:rsid w:val="002B2668"/>
    <w:rsid w:val="002B2B8E"/>
    <w:rsid w:val="002B2EF8"/>
    <w:rsid w:val="002B323C"/>
    <w:rsid w:val="002B3244"/>
    <w:rsid w:val="002B38F3"/>
    <w:rsid w:val="002B3E0D"/>
    <w:rsid w:val="002B3E89"/>
    <w:rsid w:val="002B484C"/>
    <w:rsid w:val="002B4D3E"/>
    <w:rsid w:val="002B5227"/>
    <w:rsid w:val="002B5C17"/>
    <w:rsid w:val="002B5D34"/>
    <w:rsid w:val="002B6133"/>
    <w:rsid w:val="002B695A"/>
    <w:rsid w:val="002B6BB4"/>
    <w:rsid w:val="002B73E2"/>
    <w:rsid w:val="002B7785"/>
    <w:rsid w:val="002B7904"/>
    <w:rsid w:val="002B79DA"/>
    <w:rsid w:val="002B7F97"/>
    <w:rsid w:val="002C0110"/>
    <w:rsid w:val="002C0304"/>
    <w:rsid w:val="002C079D"/>
    <w:rsid w:val="002C096A"/>
    <w:rsid w:val="002C12D6"/>
    <w:rsid w:val="002C12D9"/>
    <w:rsid w:val="002C18B7"/>
    <w:rsid w:val="002C1B26"/>
    <w:rsid w:val="002C1F28"/>
    <w:rsid w:val="002C23BF"/>
    <w:rsid w:val="002C24D7"/>
    <w:rsid w:val="002C286D"/>
    <w:rsid w:val="002C2CAC"/>
    <w:rsid w:val="002C2F4E"/>
    <w:rsid w:val="002C30BA"/>
    <w:rsid w:val="002C33B7"/>
    <w:rsid w:val="002C3578"/>
    <w:rsid w:val="002C3AD2"/>
    <w:rsid w:val="002C3ED6"/>
    <w:rsid w:val="002C418B"/>
    <w:rsid w:val="002C4201"/>
    <w:rsid w:val="002C468E"/>
    <w:rsid w:val="002C4D33"/>
    <w:rsid w:val="002C522A"/>
    <w:rsid w:val="002C6075"/>
    <w:rsid w:val="002C64F3"/>
    <w:rsid w:val="002C6656"/>
    <w:rsid w:val="002C6996"/>
    <w:rsid w:val="002C69F6"/>
    <w:rsid w:val="002C6C5B"/>
    <w:rsid w:val="002C7537"/>
    <w:rsid w:val="002D00C7"/>
    <w:rsid w:val="002D030C"/>
    <w:rsid w:val="002D0399"/>
    <w:rsid w:val="002D0882"/>
    <w:rsid w:val="002D0CBD"/>
    <w:rsid w:val="002D1067"/>
    <w:rsid w:val="002D11C6"/>
    <w:rsid w:val="002D1252"/>
    <w:rsid w:val="002D17E3"/>
    <w:rsid w:val="002D2739"/>
    <w:rsid w:val="002D2B07"/>
    <w:rsid w:val="002D2CAE"/>
    <w:rsid w:val="002D2DC4"/>
    <w:rsid w:val="002D2FA5"/>
    <w:rsid w:val="002D31D9"/>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BAD"/>
    <w:rsid w:val="002D7BFC"/>
    <w:rsid w:val="002E029F"/>
    <w:rsid w:val="002E090F"/>
    <w:rsid w:val="002E0E3A"/>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3EF"/>
    <w:rsid w:val="002F0511"/>
    <w:rsid w:val="002F0637"/>
    <w:rsid w:val="002F094A"/>
    <w:rsid w:val="002F0E98"/>
    <w:rsid w:val="002F1617"/>
    <w:rsid w:val="002F209C"/>
    <w:rsid w:val="002F233C"/>
    <w:rsid w:val="002F2AA4"/>
    <w:rsid w:val="002F37A8"/>
    <w:rsid w:val="002F37D0"/>
    <w:rsid w:val="002F3E25"/>
    <w:rsid w:val="002F4243"/>
    <w:rsid w:val="002F49EC"/>
    <w:rsid w:val="002F4E32"/>
    <w:rsid w:val="002F5021"/>
    <w:rsid w:val="002F50A5"/>
    <w:rsid w:val="002F50FC"/>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6E2"/>
    <w:rsid w:val="00301C17"/>
    <w:rsid w:val="00301E6A"/>
    <w:rsid w:val="00301FBA"/>
    <w:rsid w:val="00302134"/>
    <w:rsid w:val="00302CD2"/>
    <w:rsid w:val="00302D9D"/>
    <w:rsid w:val="0030300D"/>
    <w:rsid w:val="00303208"/>
    <w:rsid w:val="00303427"/>
    <w:rsid w:val="0030350B"/>
    <w:rsid w:val="00303543"/>
    <w:rsid w:val="00303716"/>
    <w:rsid w:val="00303B0B"/>
    <w:rsid w:val="00303BB4"/>
    <w:rsid w:val="00304129"/>
    <w:rsid w:val="00304177"/>
    <w:rsid w:val="00304DDA"/>
    <w:rsid w:val="00304E0B"/>
    <w:rsid w:val="00304EE1"/>
    <w:rsid w:val="00305CF4"/>
    <w:rsid w:val="00305F56"/>
    <w:rsid w:val="0030631F"/>
    <w:rsid w:val="003064E1"/>
    <w:rsid w:val="00306DB1"/>
    <w:rsid w:val="00307064"/>
    <w:rsid w:val="00307759"/>
    <w:rsid w:val="00307B17"/>
    <w:rsid w:val="00307BFD"/>
    <w:rsid w:val="00307CF9"/>
    <w:rsid w:val="00307E09"/>
    <w:rsid w:val="00307E4B"/>
    <w:rsid w:val="00307F21"/>
    <w:rsid w:val="00310430"/>
    <w:rsid w:val="003114FA"/>
    <w:rsid w:val="00311BEA"/>
    <w:rsid w:val="00311D79"/>
    <w:rsid w:val="00312B38"/>
    <w:rsid w:val="00313799"/>
    <w:rsid w:val="00313907"/>
    <w:rsid w:val="00313A44"/>
    <w:rsid w:val="00313E37"/>
    <w:rsid w:val="00314D1E"/>
    <w:rsid w:val="00315073"/>
    <w:rsid w:val="00315206"/>
    <w:rsid w:val="00315241"/>
    <w:rsid w:val="003153BB"/>
    <w:rsid w:val="003159D9"/>
    <w:rsid w:val="00315F39"/>
    <w:rsid w:val="0031729F"/>
    <w:rsid w:val="003174F8"/>
    <w:rsid w:val="003175E9"/>
    <w:rsid w:val="00317FD8"/>
    <w:rsid w:val="00320487"/>
    <w:rsid w:val="003204FD"/>
    <w:rsid w:val="00320B2A"/>
    <w:rsid w:val="00320E58"/>
    <w:rsid w:val="00320F20"/>
    <w:rsid w:val="00320F88"/>
    <w:rsid w:val="00321558"/>
    <w:rsid w:val="00321743"/>
    <w:rsid w:val="00322176"/>
    <w:rsid w:val="0032298F"/>
    <w:rsid w:val="00322BE4"/>
    <w:rsid w:val="00322F9A"/>
    <w:rsid w:val="00322FA8"/>
    <w:rsid w:val="0032450A"/>
    <w:rsid w:val="00324C8C"/>
    <w:rsid w:val="00324DD1"/>
    <w:rsid w:val="00325472"/>
    <w:rsid w:val="00325769"/>
    <w:rsid w:val="00325AC3"/>
    <w:rsid w:val="00326155"/>
    <w:rsid w:val="0032616B"/>
    <w:rsid w:val="00326B55"/>
    <w:rsid w:val="003271C5"/>
    <w:rsid w:val="00327425"/>
    <w:rsid w:val="00330509"/>
    <w:rsid w:val="003308A9"/>
    <w:rsid w:val="00330C3B"/>
    <w:rsid w:val="0033105F"/>
    <w:rsid w:val="003310A7"/>
    <w:rsid w:val="003311C5"/>
    <w:rsid w:val="00331432"/>
    <w:rsid w:val="00331492"/>
    <w:rsid w:val="00331D03"/>
    <w:rsid w:val="00331EE9"/>
    <w:rsid w:val="00332972"/>
    <w:rsid w:val="00332F83"/>
    <w:rsid w:val="00332FF3"/>
    <w:rsid w:val="0033309B"/>
    <w:rsid w:val="00333789"/>
    <w:rsid w:val="00333B5E"/>
    <w:rsid w:val="00334087"/>
    <w:rsid w:val="003346A0"/>
    <w:rsid w:val="0033470F"/>
    <w:rsid w:val="00334766"/>
    <w:rsid w:val="00334776"/>
    <w:rsid w:val="00334B36"/>
    <w:rsid w:val="00334E1E"/>
    <w:rsid w:val="003352CE"/>
    <w:rsid w:val="00335348"/>
    <w:rsid w:val="00335F25"/>
    <w:rsid w:val="00336631"/>
    <w:rsid w:val="003368A9"/>
    <w:rsid w:val="00337244"/>
    <w:rsid w:val="0033756B"/>
    <w:rsid w:val="00337793"/>
    <w:rsid w:val="00337851"/>
    <w:rsid w:val="00337863"/>
    <w:rsid w:val="00337CA7"/>
    <w:rsid w:val="00337E2D"/>
    <w:rsid w:val="00340786"/>
    <w:rsid w:val="00340CE0"/>
    <w:rsid w:val="00341500"/>
    <w:rsid w:val="003418A7"/>
    <w:rsid w:val="00342205"/>
    <w:rsid w:val="003423EB"/>
    <w:rsid w:val="003429F1"/>
    <w:rsid w:val="00342B71"/>
    <w:rsid w:val="00342EDD"/>
    <w:rsid w:val="0034309B"/>
    <w:rsid w:val="00343737"/>
    <w:rsid w:val="00344117"/>
    <w:rsid w:val="00344353"/>
    <w:rsid w:val="00344B38"/>
    <w:rsid w:val="00344F04"/>
    <w:rsid w:val="0034521D"/>
    <w:rsid w:val="003459AC"/>
    <w:rsid w:val="00345FA1"/>
    <w:rsid w:val="003464BD"/>
    <w:rsid w:val="00346D46"/>
    <w:rsid w:val="00346E32"/>
    <w:rsid w:val="0034755B"/>
    <w:rsid w:val="00347A59"/>
    <w:rsid w:val="00347EC1"/>
    <w:rsid w:val="00350336"/>
    <w:rsid w:val="00350EF3"/>
    <w:rsid w:val="00351513"/>
    <w:rsid w:val="00351610"/>
    <w:rsid w:val="003519CC"/>
    <w:rsid w:val="00351BD9"/>
    <w:rsid w:val="00351D96"/>
    <w:rsid w:val="00352C2B"/>
    <w:rsid w:val="00352F76"/>
    <w:rsid w:val="0035338B"/>
    <w:rsid w:val="003533A4"/>
    <w:rsid w:val="0035368F"/>
    <w:rsid w:val="00354E8D"/>
    <w:rsid w:val="00354FE0"/>
    <w:rsid w:val="0035525B"/>
    <w:rsid w:val="003554A7"/>
    <w:rsid w:val="00355C2D"/>
    <w:rsid w:val="00355C89"/>
    <w:rsid w:val="00356698"/>
    <w:rsid w:val="003566BC"/>
    <w:rsid w:val="00356CE8"/>
    <w:rsid w:val="00357974"/>
    <w:rsid w:val="003579F2"/>
    <w:rsid w:val="003579F9"/>
    <w:rsid w:val="00360058"/>
    <w:rsid w:val="00360470"/>
    <w:rsid w:val="00360BE6"/>
    <w:rsid w:val="00360D78"/>
    <w:rsid w:val="00360FA0"/>
    <w:rsid w:val="00361524"/>
    <w:rsid w:val="003615A7"/>
    <w:rsid w:val="00361EAF"/>
    <w:rsid w:val="00361FC7"/>
    <w:rsid w:val="00362463"/>
    <w:rsid w:val="0036257D"/>
    <w:rsid w:val="003628B0"/>
    <w:rsid w:val="00363014"/>
    <w:rsid w:val="0036316C"/>
    <w:rsid w:val="00363306"/>
    <w:rsid w:val="00363315"/>
    <w:rsid w:val="0036333F"/>
    <w:rsid w:val="003636BA"/>
    <w:rsid w:val="003637A5"/>
    <w:rsid w:val="00363C1A"/>
    <w:rsid w:val="00363E99"/>
    <w:rsid w:val="00364563"/>
    <w:rsid w:val="00364580"/>
    <w:rsid w:val="00364D6E"/>
    <w:rsid w:val="00365690"/>
    <w:rsid w:val="0036577B"/>
    <w:rsid w:val="00365959"/>
    <w:rsid w:val="00366ACD"/>
    <w:rsid w:val="00367033"/>
    <w:rsid w:val="003674D9"/>
    <w:rsid w:val="00367850"/>
    <w:rsid w:val="0037017F"/>
    <w:rsid w:val="00370192"/>
    <w:rsid w:val="003702E8"/>
    <w:rsid w:val="00370377"/>
    <w:rsid w:val="00370CE8"/>
    <w:rsid w:val="00371321"/>
    <w:rsid w:val="00371384"/>
    <w:rsid w:val="00371EEF"/>
    <w:rsid w:val="00372965"/>
    <w:rsid w:val="00372C6F"/>
    <w:rsid w:val="00373A0B"/>
    <w:rsid w:val="00373E32"/>
    <w:rsid w:val="0037459F"/>
    <w:rsid w:val="003748CB"/>
    <w:rsid w:val="00374CB3"/>
    <w:rsid w:val="00375136"/>
    <w:rsid w:val="00375A02"/>
    <w:rsid w:val="00375C31"/>
    <w:rsid w:val="00376467"/>
    <w:rsid w:val="00376A38"/>
    <w:rsid w:val="003773D1"/>
    <w:rsid w:val="00377580"/>
    <w:rsid w:val="00377E04"/>
    <w:rsid w:val="00377FA0"/>
    <w:rsid w:val="00380210"/>
    <w:rsid w:val="00380A8F"/>
    <w:rsid w:val="00380F3E"/>
    <w:rsid w:val="00380F49"/>
    <w:rsid w:val="003810AB"/>
    <w:rsid w:val="00381745"/>
    <w:rsid w:val="00381764"/>
    <w:rsid w:val="00382167"/>
    <w:rsid w:val="003823D5"/>
    <w:rsid w:val="00382926"/>
    <w:rsid w:val="0038300C"/>
    <w:rsid w:val="0038363F"/>
    <w:rsid w:val="00383E33"/>
    <w:rsid w:val="003847B7"/>
    <w:rsid w:val="003849CE"/>
    <w:rsid w:val="003849E0"/>
    <w:rsid w:val="00384DDA"/>
    <w:rsid w:val="00385316"/>
    <w:rsid w:val="00385328"/>
    <w:rsid w:val="003854E9"/>
    <w:rsid w:val="0038577D"/>
    <w:rsid w:val="00385BBA"/>
    <w:rsid w:val="00385C8A"/>
    <w:rsid w:val="003862A1"/>
    <w:rsid w:val="00386827"/>
    <w:rsid w:val="00386BAA"/>
    <w:rsid w:val="0038746F"/>
    <w:rsid w:val="003878ED"/>
    <w:rsid w:val="00387F3D"/>
    <w:rsid w:val="00387FF5"/>
    <w:rsid w:val="00390575"/>
    <w:rsid w:val="003906CD"/>
    <w:rsid w:val="00391125"/>
    <w:rsid w:val="0039136E"/>
    <w:rsid w:val="003913BD"/>
    <w:rsid w:val="00391F0E"/>
    <w:rsid w:val="003922B1"/>
    <w:rsid w:val="0039296F"/>
    <w:rsid w:val="00392AFB"/>
    <w:rsid w:val="003930B5"/>
    <w:rsid w:val="0039334A"/>
    <w:rsid w:val="00393394"/>
    <w:rsid w:val="00393468"/>
    <w:rsid w:val="00393585"/>
    <w:rsid w:val="003935B9"/>
    <w:rsid w:val="003935CB"/>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AF7"/>
    <w:rsid w:val="003A221F"/>
    <w:rsid w:val="003A257E"/>
    <w:rsid w:val="003A25F4"/>
    <w:rsid w:val="003A295A"/>
    <w:rsid w:val="003A3159"/>
    <w:rsid w:val="003A32BB"/>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5D13"/>
    <w:rsid w:val="003A601D"/>
    <w:rsid w:val="003A7236"/>
    <w:rsid w:val="003A7911"/>
    <w:rsid w:val="003B019B"/>
    <w:rsid w:val="003B01E4"/>
    <w:rsid w:val="003B088E"/>
    <w:rsid w:val="003B1014"/>
    <w:rsid w:val="003B106B"/>
    <w:rsid w:val="003B1EA1"/>
    <w:rsid w:val="003B1F25"/>
    <w:rsid w:val="003B27DF"/>
    <w:rsid w:val="003B2E07"/>
    <w:rsid w:val="003B3656"/>
    <w:rsid w:val="003B3951"/>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927"/>
    <w:rsid w:val="003B696F"/>
    <w:rsid w:val="003B6D41"/>
    <w:rsid w:val="003B76CE"/>
    <w:rsid w:val="003B7749"/>
    <w:rsid w:val="003B7C7B"/>
    <w:rsid w:val="003B7CA4"/>
    <w:rsid w:val="003C0E58"/>
    <w:rsid w:val="003C10B0"/>
    <w:rsid w:val="003C14B1"/>
    <w:rsid w:val="003C1591"/>
    <w:rsid w:val="003C199E"/>
    <w:rsid w:val="003C2280"/>
    <w:rsid w:val="003C2AA7"/>
    <w:rsid w:val="003C2CDD"/>
    <w:rsid w:val="003C2F47"/>
    <w:rsid w:val="003C31AC"/>
    <w:rsid w:val="003C3846"/>
    <w:rsid w:val="003C38C8"/>
    <w:rsid w:val="003C44D1"/>
    <w:rsid w:val="003C4733"/>
    <w:rsid w:val="003C4F06"/>
    <w:rsid w:val="003C5A14"/>
    <w:rsid w:val="003C5D9C"/>
    <w:rsid w:val="003C5DE7"/>
    <w:rsid w:val="003C6080"/>
    <w:rsid w:val="003C634A"/>
    <w:rsid w:val="003C6592"/>
    <w:rsid w:val="003C667C"/>
    <w:rsid w:val="003C7335"/>
    <w:rsid w:val="003C7651"/>
    <w:rsid w:val="003C7879"/>
    <w:rsid w:val="003C79DB"/>
    <w:rsid w:val="003D029E"/>
    <w:rsid w:val="003D067C"/>
    <w:rsid w:val="003D0906"/>
    <w:rsid w:val="003D13D8"/>
    <w:rsid w:val="003D140A"/>
    <w:rsid w:val="003D15B7"/>
    <w:rsid w:val="003D15ED"/>
    <w:rsid w:val="003D1608"/>
    <w:rsid w:val="003D20E1"/>
    <w:rsid w:val="003D2486"/>
    <w:rsid w:val="003D295A"/>
    <w:rsid w:val="003D2A35"/>
    <w:rsid w:val="003D321B"/>
    <w:rsid w:val="003D35FA"/>
    <w:rsid w:val="003D39EF"/>
    <w:rsid w:val="003D41BA"/>
    <w:rsid w:val="003D41C7"/>
    <w:rsid w:val="003D420B"/>
    <w:rsid w:val="003D45E1"/>
    <w:rsid w:val="003D4CC1"/>
    <w:rsid w:val="003D529E"/>
    <w:rsid w:val="003D5427"/>
    <w:rsid w:val="003D6474"/>
    <w:rsid w:val="003D664F"/>
    <w:rsid w:val="003D6670"/>
    <w:rsid w:val="003D6A09"/>
    <w:rsid w:val="003D6BBA"/>
    <w:rsid w:val="003D6F67"/>
    <w:rsid w:val="003D707F"/>
    <w:rsid w:val="003D71D5"/>
    <w:rsid w:val="003D74EF"/>
    <w:rsid w:val="003D7671"/>
    <w:rsid w:val="003D7A37"/>
    <w:rsid w:val="003D7C9F"/>
    <w:rsid w:val="003E0A03"/>
    <w:rsid w:val="003E0CAF"/>
    <w:rsid w:val="003E1122"/>
    <w:rsid w:val="003E1207"/>
    <w:rsid w:val="003E12C9"/>
    <w:rsid w:val="003E1604"/>
    <w:rsid w:val="003E1766"/>
    <w:rsid w:val="003E18F5"/>
    <w:rsid w:val="003E1A61"/>
    <w:rsid w:val="003E21C5"/>
    <w:rsid w:val="003E279B"/>
    <w:rsid w:val="003E2AB7"/>
    <w:rsid w:val="003E2F36"/>
    <w:rsid w:val="003E2FB3"/>
    <w:rsid w:val="003E37A0"/>
    <w:rsid w:val="003E393E"/>
    <w:rsid w:val="003E3CFE"/>
    <w:rsid w:val="003E4066"/>
    <w:rsid w:val="003E4AE0"/>
    <w:rsid w:val="003E507E"/>
    <w:rsid w:val="003E5394"/>
    <w:rsid w:val="003E6747"/>
    <w:rsid w:val="003E678B"/>
    <w:rsid w:val="003E6CCA"/>
    <w:rsid w:val="003E6D93"/>
    <w:rsid w:val="003E73AA"/>
    <w:rsid w:val="003E740B"/>
    <w:rsid w:val="003E76C6"/>
    <w:rsid w:val="003F0186"/>
    <w:rsid w:val="003F038A"/>
    <w:rsid w:val="003F0555"/>
    <w:rsid w:val="003F09E9"/>
    <w:rsid w:val="003F0C9F"/>
    <w:rsid w:val="003F0D0F"/>
    <w:rsid w:val="003F11D8"/>
    <w:rsid w:val="003F1221"/>
    <w:rsid w:val="003F1222"/>
    <w:rsid w:val="003F1303"/>
    <w:rsid w:val="003F1AAC"/>
    <w:rsid w:val="003F1C6D"/>
    <w:rsid w:val="003F1D12"/>
    <w:rsid w:val="003F1E3F"/>
    <w:rsid w:val="003F1ECD"/>
    <w:rsid w:val="003F26C1"/>
    <w:rsid w:val="003F2C12"/>
    <w:rsid w:val="003F3195"/>
    <w:rsid w:val="003F32A8"/>
    <w:rsid w:val="003F34C4"/>
    <w:rsid w:val="003F3673"/>
    <w:rsid w:val="003F3760"/>
    <w:rsid w:val="003F465F"/>
    <w:rsid w:val="003F47AB"/>
    <w:rsid w:val="003F47D1"/>
    <w:rsid w:val="003F4B6C"/>
    <w:rsid w:val="003F4DAF"/>
    <w:rsid w:val="003F5A39"/>
    <w:rsid w:val="003F5EE6"/>
    <w:rsid w:val="003F6039"/>
    <w:rsid w:val="003F67D7"/>
    <w:rsid w:val="003F7144"/>
    <w:rsid w:val="003F74EF"/>
    <w:rsid w:val="00400195"/>
    <w:rsid w:val="00400758"/>
    <w:rsid w:val="00400A77"/>
    <w:rsid w:val="00401262"/>
    <w:rsid w:val="00401B6E"/>
    <w:rsid w:val="00401F28"/>
    <w:rsid w:val="0040291B"/>
    <w:rsid w:val="00403352"/>
    <w:rsid w:val="00404123"/>
    <w:rsid w:val="00404550"/>
    <w:rsid w:val="00404B91"/>
    <w:rsid w:val="00404BB2"/>
    <w:rsid w:val="00405354"/>
    <w:rsid w:val="0040541F"/>
    <w:rsid w:val="00405424"/>
    <w:rsid w:val="00405C8A"/>
    <w:rsid w:val="0040675A"/>
    <w:rsid w:val="00406889"/>
    <w:rsid w:val="00406DEE"/>
    <w:rsid w:val="00406E48"/>
    <w:rsid w:val="004072DC"/>
    <w:rsid w:val="00407C6C"/>
    <w:rsid w:val="00410081"/>
    <w:rsid w:val="00410502"/>
    <w:rsid w:val="00410971"/>
    <w:rsid w:val="00410E96"/>
    <w:rsid w:val="00410F5C"/>
    <w:rsid w:val="00411C1D"/>
    <w:rsid w:val="00411FD7"/>
    <w:rsid w:val="0041213F"/>
    <w:rsid w:val="0041242B"/>
    <w:rsid w:val="00412A04"/>
    <w:rsid w:val="00412C22"/>
    <w:rsid w:val="00412C54"/>
    <w:rsid w:val="00412DB7"/>
    <w:rsid w:val="0041307A"/>
    <w:rsid w:val="00413344"/>
    <w:rsid w:val="00413397"/>
    <w:rsid w:val="00413D02"/>
    <w:rsid w:val="00413DF7"/>
    <w:rsid w:val="004141EF"/>
    <w:rsid w:val="00414721"/>
    <w:rsid w:val="00414FC0"/>
    <w:rsid w:val="004150A8"/>
    <w:rsid w:val="0041538F"/>
    <w:rsid w:val="004158E1"/>
    <w:rsid w:val="00415B20"/>
    <w:rsid w:val="00417B00"/>
    <w:rsid w:val="00417D0F"/>
    <w:rsid w:val="00417E9B"/>
    <w:rsid w:val="00417ECD"/>
    <w:rsid w:val="0042007E"/>
    <w:rsid w:val="00420473"/>
    <w:rsid w:val="00420694"/>
    <w:rsid w:val="00420703"/>
    <w:rsid w:val="004207FA"/>
    <w:rsid w:val="0042081E"/>
    <w:rsid w:val="00420E0C"/>
    <w:rsid w:val="00421989"/>
    <w:rsid w:val="00421C02"/>
    <w:rsid w:val="00422163"/>
    <w:rsid w:val="00422B00"/>
    <w:rsid w:val="00422F9A"/>
    <w:rsid w:val="0042331A"/>
    <w:rsid w:val="00423479"/>
    <w:rsid w:val="00424B49"/>
    <w:rsid w:val="00424BC0"/>
    <w:rsid w:val="00424CD9"/>
    <w:rsid w:val="00424EE9"/>
    <w:rsid w:val="0042508C"/>
    <w:rsid w:val="00425365"/>
    <w:rsid w:val="00425A9F"/>
    <w:rsid w:val="00425C82"/>
    <w:rsid w:val="004261C5"/>
    <w:rsid w:val="004267BD"/>
    <w:rsid w:val="00426D00"/>
    <w:rsid w:val="00427071"/>
    <w:rsid w:val="00427AC9"/>
    <w:rsid w:val="00427DF3"/>
    <w:rsid w:val="0043000A"/>
    <w:rsid w:val="0043033C"/>
    <w:rsid w:val="004304BD"/>
    <w:rsid w:val="00430A35"/>
    <w:rsid w:val="00430E1F"/>
    <w:rsid w:val="00431223"/>
    <w:rsid w:val="004312BB"/>
    <w:rsid w:val="004312F7"/>
    <w:rsid w:val="004318F3"/>
    <w:rsid w:val="0043232C"/>
    <w:rsid w:val="0043286C"/>
    <w:rsid w:val="00432C14"/>
    <w:rsid w:val="00432D80"/>
    <w:rsid w:val="00432EC8"/>
    <w:rsid w:val="00432F61"/>
    <w:rsid w:val="00433ACC"/>
    <w:rsid w:val="00433C32"/>
    <w:rsid w:val="004341E9"/>
    <w:rsid w:val="00434323"/>
    <w:rsid w:val="00434720"/>
    <w:rsid w:val="00434C76"/>
    <w:rsid w:val="00434CA4"/>
    <w:rsid w:val="00434F97"/>
    <w:rsid w:val="00436AF2"/>
    <w:rsid w:val="00436D44"/>
    <w:rsid w:val="004379FE"/>
    <w:rsid w:val="00440C07"/>
    <w:rsid w:val="00440C48"/>
    <w:rsid w:val="00440D83"/>
    <w:rsid w:val="00440E3B"/>
    <w:rsid w:val="0044111B"/>
    <w:rsid w:val="00441985"/>
    <w:rsid w:val="00441E7C"/>
    <w:rsid w:val="00441F13"/>
    <w:rsid w:val="00441FF4"/>
    <w:rsid w:val="004437DC"/>
    <w:rsid w:val="00443A4C"/>
    <w:rsid w:val="004443AB"/>
    <w:rsid w:val="00444624"/>
    <w:rsid w:val="0044486A"/>
    <w:rsid w:val="004448DB"/>
    <w:rsid w:val="004450D0"/>
    <w:rsid w:val="0044527B"/>
    <w:rsid w:val="00445A7D"/>
    <w:rsid w:val="00445D17"/>
    <w:rsid w:val="00445E64"/>
    <w:rsid w:val="00445F93"/>
    <w:rsid w:val="0044645D"/>
    <w:rsid w:val="00446746"/>
    <w:rsid w:val="00446778"/>
    <w:rsid w:val="00446AD1"/>
    <w:rsid w:val="00446D67"/>
    <w:rsid w:val="004473E1"/>
    <w:rsid w:val="00447435"/>
    <w:rsid w:val="00447467"/>
    <w:rsid w:val="00447BE4"/>
    <w:rsid w:val="00447CC7"/>
    <w:rsid w:val="004501C4"/>
    <w:rsid w:val="0045342A"/>
    <w:rsid w:val="00453531"/>
    <w:rsid w:val="004539F3"/>
    <w:rsid w:val="00453E52"/>
    <w:rsid w:val="00453F61"/>
    <w:rsid w:val="004546DE"/>
    <w:rsid w:val="00454DCF"/>
    <w:rsid w:val="00454F37"/>
    <w:rsid w:val="00455072"/>
    <w:rsid w:val="004551C5"/>
    <w:rsid w:val="0045536D"/>
    <w:rsid w:val="0045563A"/>
    <w:rsid w:val="004558D1"/>
    <w:rsid w:val="00455C0B"/>
    <w:rsid w:val="00455F76"/>
    <w:rsid w:val="0045615C"/>
    <w:rsid w:val="00456918"/>
    <w:rsid w:val="00457452"/>
    <w:rsid w:val="00457539"/>
    <w:rsid w:val="004576A7"/>
    <w:rsid w:val="00460676"/>
    <w:rsid w:val="00460959"/>
    <w:rsid w:val="00460A2F"/>
    <w:rsid w:val="00460DFC"/>
    <w:rsid w:val="00461390"/>
    <w:rsid w:val="00462344"/>
    <w:rsid w:val="00462792"/>
    <w:rsid w:val="00462882"/>
    <w:rsid w:val="00462DBD"/>
    <w:rsid w:val="00462DFC"/>
    <w:rsid w:val="00462EC3"/>
    <w:rsid w:val="00463713"/>
    <w:rsid w:val="00464A54"/>
    <w:rsid w:val="00464B57"/>
    <w:rsid w:val="00464F15"/>
    <w:rsid w:val="00465E1C"/>
    <w:rsid w:val="00466288"/>
    <w:rsid w:val="00466633"/>
    <w:rsid w:val="00466917"/>
    <w:rsid w:val="00466A68"/>
    <w:rsid w:val="00466E1F"/>
    <w:rsid w:val="00467A07"/>
    <w:rsid w:val="00467DDF"/>
    <w:rsid w:val="00467E6F"/>
    <w:rsid w:val="0047087C"/>
    <w:rsid w:val="004709CF"/>
    <w:rsid w:val="00470D72"/>
    <w:rsid w:val="0047104F"/>
    <w:rsid w:val="004712BA"/>
    <w:rsid w:val="004715DB"/>
    <w:rsid w:val="004717FC"/>
    <w:rsid w:val="00471DBD"/>
    <w:rsid w:val="00472AD8"/>
    <w:rsid w:val="00472D57"/>
    <w:rsid w:val="0047319E"/>
    <w:rsid w:val="0047343D"/>
    <w:rsid w:val="004737AB"/>
    <w:rsid w:val="004737D2"/>
    <w:rsid w:val="00473C52"/>
    <w:rsid w:val="00474861"/>
    <w:rsid w:val="004749D1"/>
    <w:rsid w:val="004750E2"/>
    <w:rsid w:val="004756A4"/>
    <w:rsid w:val="0047572F"/>
    <w:rsid w:val="004757DD"/>
    <w:rsid w:val="00475A00"/>
    <w:rsid w:val="00475DE8"/>
    <w:rsid w:val="0047620B"/>
    <w:rsid w:val="004765C1"/>
    <w:rsid w:val="00476839"/>
    <w:rsid w:val="00477156"/>
    <w:rsid w:val="00477658"/>
    <w:rsid w:val="00477886"/>
    <w:rsid w:val="00480042"/>
    <w:rsid w:val="00480314"/>
    <w:rsid w:val="00480836"/>
    <w:rsid w:val="0048093C"/>
    <w:rsid w:val="00480C6C"/>
    <w:rsid w:val="004813F4"/>
    <w:rsid w:val="00481755"/>
    <w:rsid w:val="00481909"/>
    <w:rsid w:val="00483CE2"/>
    <w:rsid w:val="00483E6B"/>
    <w:rsid w:val="00483EBC"/>
    <w:rsid w:val="004842F9"/>
    <w:rsid w:val="004847E2"/>
    <w:rsid w:val="00484846"/>
    <w:rsid w:val="004856FD"/>
    <w:rsid w:val="0048633C"/>
    <w:rsid w:val="004865F3"/>
    <w:rsid w:val="00487507"/>
    <w:rsid w:val="00487663"/>
    <w:rsid w:val="004877CE"/>
    <w:rsid w:val="00487856"/>
    <w:rsid w:val="00487AA1"/>
    <w:rsid w:val="00487AA5"/>
    <w:rsid w:val="00487D87"/>
    <w:rsid w:val="0049089F"/>
    <w:rsid w:val="0049099D"/>
    <w:rsid w:val="00490E4A"/>
    <w:rsid w:val="004913DD"/>
    <w:rsid w:val="004914C9"/>
    <w:rsid w:val="00491AF2"/>
    <w:rsid w:val="00491DE1"/>
    <w:rsid w:val="00491F25"/>
    <w:rsid w:val="00491FB0"/>
    <w:rsid w:val="00492077"/>
    <w:rsid w:val="004920BE"/>
    <w:rsid w:val="004923E3"/>
    <w:rsid w:val="00492652"/>
    <w:rsid w:val="00492788"/>
    <w:rsid w:val="00492CC9"/>
    <w:rsid w:val="004930C9"/>
    <w:rsid w:val="004937B0"/>
    <w:rsid w:val="00493F13"/>
    <w:rsid w:val="004948F2"/>
    <w:rsid w:val="004954B5"/>
    <w:rsid w:val="00495607"/>
    <w:rsid w:val="00495774"/>
    <w:rsid w:val="00495F75"/>
    <w:rsid w:val="00495FC1"/>
    <w:rsid w:val="00496151"/>
    <w:rsid w:val="004961F1"/>
    <w:rsid w:val="00496379"/>
    <w:rsid w:val="004968A8"/>
    <w:rsid w:val="004969CB"/>
    <w:rsid w:val="00496CB2"/>
    <w:rsid w:val="00496D6D"/>
    <w:rsid w:val="00497689"/>
    <w:rsid w:val="00497B8B"/>
    <w:rsid w:val="00497DD4"/>
    <w:rsid w:val="004A0111"/>
    <w:rsid w:val="004A0A58"/>
    <w:rsid w:val="004A0E9E"/>
    <w:rsid w:val="004A0FBA"/>
    <w:rsid w:val="004A1431"/>
    <w:rsid w:val="004A16AC"/>
    <w:rsid w:val="004A1B28"/>
    <w:rsid w:val="004A1C37"/>
    <w:rsid w:val="004A20D4"/>
    <w:rsid w:val="004A2505"/>
    <w:rsid w:val="004A2BF9"/>
    <w:rsid w:val="004A2C3A"/>
    <w:rsid w:val="004A39B3"/>
    <w:rsid w:val="004A3A16"/>
    <w:rsid w:val="004A443B"/>
    <w:rsid w:val="004A5BC6"/>
    <w:rsid w:val="004A606E"/>
    <w:rsid w:val="004A6087"/>
    <w:rsid w:val="004A67DF"/>
    <w:rsid w:val="004A69F3"/>
    <w:rsid w:val="004A73AA"/>
    <w:rsid w:val="004B014F"/>
    <w:rsid w:val="004B0A99"/>
    <w:rsid w:val="004B0B98"/>
    <w:rsid w:val="004B14D9"/>
    <w:rsid w:val="004B1BF9"/>
    <w:rsid w:val="004B20AC"/>
    <w:rsid w:val="004B2450"/>
    <w:rsid w:val="004B32FC"/>
    <w:rsid w:val="004B3567"/>
    <w:rsid w:val="004B39AC"/>
    <w:rsid w:val="004B3A7D"/>
    <w:rsid w:val="004B3CEC"/>
    <w:rsid w:val="004B4071"/>
    <w:rsid w:val="004B41CA"/>
    <w:rsid w:val="004B41D3"/>
    <w:rsid w:val="004B4228"/>
    <w:rsid w:val="004B4A3D"/>
    <w:rsid w:val="004B5ADF"/>
    <w:rsid w:val="004B5DC2"/>
    <w:rsid w:val="004B5EF3"/>
    <w:rsid w:val="004B6067"/>
    <w:rsid w:val="004B66C4"/>
    <w:rsid w:val="004B67FA"/>
    <w:rsid w:val="004B702C"/>
    <w:rsid w:val="004B7411"/>
    <w:rsid w:val="004B74DA"/>
    <w:rsid w:val="004B750F"/>
    <w:rsid w:val="004B7C2B"/>
    <w:rsid w:val="004C009E"/>
    <w:rsid w:val="004C031E"/>
    <w:rsid w:val="004C0349"/>
    <w:rsid w:val="004C0413"/>
    <w:rsid w:val="004C1CED"/>
    <w:rsid w:val="004C1F3B"/>
    <w:rsid w:val="004C2707"/>
    <w:rsid w:val="004C30CA"/>
    <w:rsid w:val="004C376F"/>
    <w:rsid w:val="004C431E"/>
    <w:rsid w:val="004C43B3"/>
    <w:rsid w:val="004C458A"/>
    <w:rsid w:val="004C4C7A"/>
    <w:rsid w:val="004C4E08"/>
    <w:rsid w:val="004C4F65"/>
    <w:rsid w:val="004C4FD1"/>
    <w:rsid w:val="004C5DDA"/>
    <w:rsid w:val="004C5F4E"/>
    <w:rsid w:val="004C60F8"/>
    <w:rsid w:val="004C65C9"/>
    <w:rsid w:val="004C665A"/>
    <w:rsid w:val="004C6876"/>
    <w:rsid w:val="004C6BE5"/>
    <w:rsid w:val="004C6EDF"/>
    <w:rsid w:val="004C6F08"/>
    <w:rsid w:val="004C75F6"/>
    <w:rsid w:val="004C7DEF"/>
    <w:rsid w:val="004D0314"/>
    <w:rsid w:val="004D0661"/>
    <w:rsid w:val="004D0892"/>
    <w:rsid w:val="004D0E36"/>
    <w:rsid w:val="004D15F0"/>
    <w:rsid w:val="004D1AD3"/>
    <w:rsid w:val="004D311F"/>
    <w:rsid w:val="004D377C"/>
    <w:rsid w:val="004D47C1"/>
    <w:rsid w:val="004D4B5F"/>
    <w:rsid w:val="004D4EF0"/>
    <w:rsid w:val="004D52E2"/>
    <w:rsid w:val="004D532A"/>
    <w:rsid w:val="004D54BD"/>
    <w:rsid w:val="004D6524"/>
    <w:rsid w:val="004D68BE"/>
    <w:rsid w:val="004D6BD9"/>
    <w:rsid w:val="004D6CE6"/>
    <w:rsid w:val="004D721D"/>
    <w:rsid w:val="004D789A"/>
    <w:rsid w:val="004E0134"/>
    <w:rsid w:val="004E0695"/>
    <w:rsid w:val="004E081A"/>
    <w:rsid w:val="004E09DC"/>
    <w:rsid w:val="004E0F90"/>
    <w:rsid w:val="004E1162"/>
    <w:rsid w:val="004E13CC"/>
    <w:rsid w:val="004E1731"/>
    <w:rsid w:val="004E198F"/>
    <w:rsid w:val="004E1D47"/>
    <w:rsid w:val="004E20A2"/>
    <w:rsid w:val="004E24CA"/>
    <w:rsid w:val="004E2A05"/>
    <w:rsid w:val="004E31BA"/>
    <w:rsid w:val="004E3436"/>
    <w:rsid w:val="004E3872"/>
    <w:rsid w:val="004E3966"/>
    <w:rsid w:val="004E3AFB"/>
    <w:rsid w:val="004E3D62"/>
    <w:rsid w:val="004E3DBA"/>
    <w:rsid w:val="004E4295"/>
    <w:rsid w:val="004E43D2"/>
    <w:rsid w:val="004E45A3"/>
    <w:rsid w:val="004E4646"/>
    <w:rsid w:val="004E46DA"/>
    <w:rsid w:val="004E4E79"/>
    <w:rsid w:val="004E59B2"/>
    <w:rsid w:val="004E5B4A"/>
    <w:rsid w:val="004E5E56"/>
    <w:rsid w:val="004E604F"/>
    <w:rsid w:val="004E6F2E"/>
    <w:rsid w:val="004E73E8"/>
    <w:rsid w:val="004E74EC"/>
    <w:rsid w:val="004E7BF8"/>
    <w:rsid w:val="004E7DEA"/>
    <w:rsid w:val="004E7FA0"/>
    <w:rsid w:val="004F04CD"/>
    <w:rsid w:val="004F0789"/>
    <w:rsid w:val="004F0914"/>
    <w:rsid w:val="004F0A7A"/>
    <w:rsid w:val="004F0BD6"/>
    <w:rsid w:val="004F141F"/>
    <w:rsid w:val="004F2000"/>
    <w:rsid w:val="004F2318"/>
    <w:rsid w:val="004F24FB"/>
    <w:rsid w:val="004F26ED"/>
    <w:rsid w:val="004F2F44"/>
    <w:rsid w:val="004F2F68"/>
    <w:rsid w:val="004F3176"/>
    <w:rsid w:val="004F3D32"/>
    <w:rsid w:val="004F4735"/>
    <w:rsid w:val="004F539C"/>
    <w:rsid w:val="004F5B6B"/>
    <w:rsid w:val="004F5B94"/>
    <w:rsid w:val="004F5BC4"/>
    <w:rsid w:val="004F63B9"/>
    <w:rsid w:val="004F6E87"/>
    <w:rsid w:val="004F709F"/>
    <w:rsid w:val="004F7288"/>
    <w:rsid w:val="004F767C"/>
    <w:rsid w:val="004F78A3"/>
    <w:rsid w:val="00500010"/>
    <w:rsid w:val="005001BC"/>
    <w:rsid w:val="00500BFA"/>
    <w:rsid w:val="00500DD6"/>
    <w:rsid w:val="005013E6"/>
    <w:rsid w:val="00501648"/>
    <w:rsid w:val="00501C83"/>
    <w:rsid w:val="005024E0"/>
    <w:rsid w:val="0050271A"/>
    <w:rsid w:val="00502E71"/>
    <w:rsid w:val="00502EA5"/>
    <w:rsid w:val="00503A88"/>
    <w:rsid w:val="005042A1"/>
    <w:rsid w:val="005042BC"/>
    <w:rsid w:val="00504C80"/>
    <w:rsid w:val="00505568"/>
    <w:rsid w:val="0050598A"/>
    <w:rsid w:val="005061E5"/>
    <w:rsid w:val="005062B4"/>
    <w:rsid w:val="00506384"/>
    <w:rsid w:val="00506B4E"/>
    <w:rsid w:val="00506F08"/>
    <w:rsid w:val="005074FD"/>
    <w:rsid w:val="00507B6A"/>
    <w:rsid w:val="00510349"/>
    <w:rsid w:val="005104CF"/>
    <w:rsid w:val="00510E7E"/>
    <w:rsid w:val="00510F27"/>
    <w:rsid w:val="00511504"/>
    <w:rsid w:val="005119C0"/>
    <w:rsid w:val="00511B57"/>
    <w:rsid w:val="00511EE9"/>
    <w:rsid w:val="00513759"/>
    <w:rsid w:val="00514262"/>
    <w:rsid w:val="00514327"/>
    <w:rsid w:val="00514C17"/>
    <w:rsid w:val="00514D54"/>
    <w:rsid w:val="00515531"/>
    <w:rsid w:val="005156C2"/>
    <w:rsid w:val="005159CD"/>
    <w:rsid w:val="00515C6E"/>
    <w:rsid w:val="005160E2"/>
    <w:rsid w:val="005161AD"/>
    <w:rsid w:val="005162DB"/>
    <w:rsid w:val="00516BBA"/>
    <w:rsid w:val="00516CBD"/>
    <w:rsid w:val="00516EB9"/>
    <w:rsid w:val="005170B4"/>
    <w:rsid w:val="0051752A"/>
    <w:rsid w:val="00517CD0"/>
    <w:rsid w:val="00517F39"/>
    <w:rsid w:val="00517FBF"/>
    <w:rsid w:val="005203E7"/>
    <w:rsid w:val="005211AC"/>
    <w:rsid w:val="0052127C"/>
    <w:rsid w:val="00521371"/>
    <w:rsid w:val="005214E2"/>
    <w:rsid w:val="00521531"/>
    <w:rsid w:val="00521617"/>
    <w:rsid w:val="005217E8"/>
    <w:rsid w:val="00522945"/>
    <w:rsid w:val="00523070"/>
    <w:rsid w:val="00523380"/>
    <w:rsid w:val="005239B7"/>
    <w:rsid w:val="00523BD2"/>
    <w:rsid w:val="00523CBE"/>
    <w:rsid w:val="00523FAF"/>
    <w:rsid w:val="00524146"/>
    <w:rsid w:val="0052447B"/>
    <w:rsid w:val="00524613"/>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7332"/>
    <w:rsid w:val="00527362"/>
    <w:rsid w:val="00527901"/>
    <w:rsid w:val="00527AC5"/>
    <w:rsid w:val="00527EDB"/>
    <w:rsid w:val="0053043B"/>
    <w:rsid w:val="00530B61"/>
    <w:rsid w:val="00530FDE"/>
    <w:rsid w:val="0053152B"/>
    <w:rsid w:val="00531CF0"/>
    <w:rsid w:val="00531E6A"/>
    <w:rsid w:val="005320F7"/>
    <w:rsid w:val="0053266E"/>
    <w:rsid w:val="0053269F"/>
    <w:rsid w:val="0053288C"/>
    <w:rsid w:val="00532B67"/>
    <w:rsid w:val="00532B8D"/>
    <w:rsid w:val="00532E70"/>
    <w:rsid w:val="00533A1F"/>
    <w:rsid w:val="005342A1"/>
    <w:rsid w:val="00534CF1"/>
    <w:rsid w:val="0053580A"/>
    <w:rsid w:val="0053590B"/>
    <w:rsid w:val="00535D0B"/>
    <w:rsid w:val="00535E7A"/>
    <w:rsid w:val="0053607E"/>
    <w:rsid w:val="00536119"/>
    <w:rsid w:val="00536390"/>
    <w:rsid w:val="0053646A"/>
    <w:rsid w:val="0053674A"/>
    <w:rsid w:val="00536EAA"/>
    <w:rsid w:val="00536EB8"/>
    <w:rsid w:val="0053709A"/>
    <w:rsid w:val="0053720F"/>
    <w:rsid w:val="00537407"/>
    <w:rsid w:val="00537415"/>
    <w:rsid w:val="00540B24"/>
    <w:rsid w:val="005415DB"/>
    <w:rsid w:val="005416BB"/>
    <w:rsid w:val="005418E2"/>
    <w:rsid w:val="00541A87"/>
    <w:rsid w:val="00541CC7"/>
    <w:rsid w:val="00541D3C"/>
    <w:rsid w:val="00541FE6"/>
    <w:rsid w:val="005420B3"/>
    <w:rsid w:val="005421BE"/>
    <w:rsid w:val="00542445"/>
    <w:rsid w:val="005426DA"/>
    <w:rsid w:val="0054272F"/>
    <w:rsid w:val="00542F7E"/>
    <w:rsid w:val="00543B10"/>
    <w:rsid w:val="00543FE7"/>
    <w:rsid w:val="00544139"/>
    <w:rsid w:val="00544D59"/>
    <w:rsid w:val="00545235"/>
    <w:rsid w:val="005452F5"/>
    <w:rsid w:val="00546054"/>
    <w:rsid w:val="005466DD"/>
    <w:rsid w:val="00546765"/>
    <w:rsid w:val="00546871"/>
    <w:rsid w:val="00547229"/>
    <w:rsid w:val="00547879"/>
    <w:rsid w:val="005479F1"/>
    <w:rsid w:val="00547B59"/>
    <w:rsid w:val="00547D22"/>
    <w:rsid w:val="00547E58"/>
    <w:rsid w:val="00547FD8"/>
    <w:rsid w:val="00550288"/>
    <w:rsid w:val="005509A3"/>
    <w:rsid w:val="00550D79"/>
    <w:rsid w:val="005517D2"/>
    <w:rsid w:val="00551840"/>
    <w:rsid w:val="00551AB3"/>
    <w:rsid w:val="00551D2E"/>
    <w:rsid w:val="00552143"/>
    <w:rsid w:val="005523C9"/>
    <w:rsid w:val="00552767"/>
    <w:rsid w:val="0055294B"/>
    <w:rsid w:val="005529F1"/>
    <w:rsid w:val="00552DD1"/>
    <w:rsid w:val="00553279"/>
    <w:rsid w:val="0055332C"/>
    <w:rsid w:val="0055349C"/>
    <w:rsid w:val="005536CF"/>
    <w:rsid w:val="0055394B"/>
    <w:rsid w:val="00553C93"/>
    <w:rsid w:val="00553FA6"/>
    <w:rsid w:val="0055409C"/>
    <w:rsid w:val="00554124"/>
    <w:rsid w:val="0055413D"/>
    <w:rsid w:val="005544B3"/>
    <w:rsid w:val="005548D7"/>
    <w:rsid w:val="00554D59"/>
    <w:rsid w:val="00554E40"/>
    <w:rsid w:val="00554F97"/>
    <w:rsid w:val="00554FAB"/>
    <w:rsid w:val="005550E1"/>
    <w:rsid w:val="005554C2"/>
    <w:rsid w:val="00555ED2"/>
    <w:rsid w:val="00556745"/>
    <w:rsid w:val="00556C0A"/>
    <w:rsid w:val="00557071"/>
    <w:rsid w:val="0055775F"/>
    <w:rsid w:val="00557B21"/>
    <w:rsid w:val="00557E0E"/>
    <w:rsid w:val="00557E48"/>
    <w:rsid w:val="00560BE0"/>
    <w:rsid w:val="00561891"/>
    <w:rsid w:val="00562A60"/>
    <w:rsid w:val="00562AE4"/>
    <w:rsid w:val="00564889"/>
    <w:rsid w:val="00564B27"/>
    <w:rsid w:val="00564C46"/>
    <w:rsid w:val="00564C9B"/>
    <w:rsid w:val="00564DE4"/>
    <w:rsid w:val="00564FA7"/>
    <w:rsid w:val="00565365"/>
    <w:rsid w:val="00565386"/>
    <w:rsid w:val="0056542C"/>
    <w:rsid w:val="005657D7"/>
    <w:rsid w:val="00565A20"/>
    <w:rsid w:val="00565BA1"/>
    <w:rsid w:val="005661AF"/>
    <w:rsid w:val="005668CE"/>
    <w:rsid w:val="005668D1"/>
    <w:rsid w:val="0056691D"/>
    <w:rsid w:val="00567355"/>
    <w:rsid w:val="0056756C"/>
    <w:rsid w:val="005679D6"/>
    <w:rsid w:val="00567D22"/>
    <w:rsid w:val="00567F9E"/>
    <w:rsid w:val="00567FC1"/>
    <w:rsid w:val="00570058"/>
    <w:rsid w:val="0057013D"/>
    <w:rsid w:val="0057038E"/>
    <w:rsid w:val="00570A13"/>
    <w:rsid w:val="00570B11"/>
    <w:rsid w:val="005710C0"/>
    <w:rsid w:val="005718EC"/>
    <w:rsid w:val="00572252"/>
    <w:rsid w:val="00572297"/>
    <w:rsid w:val="00572482"/>
    <w:rsid w:val="005726EF"/>
    <w:rsid w:val="005728D8"/>
    <w:rsid w:val="00572C96"/>
    <w:rsid w:val="00572D93"/>
    <w:rsid w:val="005730AB"/>
    <w:rsid w:val="005730C8"/>
    <w:rsid w:val="00573521"/>
    <w:rsid w:val="00573580"/>
    <w:rsid w:val="00573774"/>
    <w:rsid w:val="00573EAB"/>
    <w:rsid w:val="005748E5"/>
    <w:rsid w:val="00574BF5"/>
    <w:rsid w:val="005750C2"/>
    <w:rsid w:val="0057515A"/>
    <w:rsid w:val="00575BC1"/>
    <w:rsid w:val="00575C28"/>
    <w:rsid w:val="005766AA"/>
    <w:rsid w:val="00576B32"/>
    <w:rsid w:val="00576DE4"/>
    <w:rsid w:val="00576F79"/>
    <w:rsid w:val="00577129"/>
    <w:rsid w:val="005777C5"/>
    <w:rsid w:val="0058007A"/>
    <w:rsid w:val="00580CD8"/>
    <w:rsid w:val="00580F61"/>
    <w:rsid w:val="00580F93"/>
    <w:rsid w:val="0058210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D0"/>
    <w:rsid w:val="0058712F"/>
    <w:rsid w:val="005873D4"/>
    <w:rsid w:val="005875DB"/>
    <w:rsid w:val="0058789C"/>
    <w:rsid w:val="00587993"/>
    <w:rsid w:val="00587B01"/>
    <w:rsid w:val="0059095A"/>
    <w:rsid w:val="00590BA5"/>
    <w:rsid w:val="00590F0B"/>
    <w:rsid w:val="005912B0"/>
    <w:rsid w:val="005914A0"/>
    <w:rsid w:val="0059164A"/>
    <w:rsid w:val="00591C47"/>
    <w:rsid w:val="00591C73"/>
    <w:rsid w:val="005922B5"/>
    <w:rsid w:val="005923EC"/>
    <w:rsid w:val="00592725"/>
    <w:rsid w:val="005928C5"/>
    <w:rsid w:val="00592E63"/>
    <w:rsid w:val="0059324C"/>
    <w:rsid w:val="00593297"/>
    <w:rsid w:val="005932E4"/>
    <w:rsid w:val="005935DA"/>
    <w:rsid w:val="0059381A"/>
    <w:rsid w:val="00593A40"/>
    <w:rsid w:val="00593C34"/>
    <w:rsid w:val="00594879"/>
    <w:rsid w:val="005948A6"/>
    <w:rsid w:val="00594D73"/>
    <w:rsid w:val="00594E6B"/>
    <w:rsid w:val="00595AB2"/>
    <w:rsid w:val="00596854"/>
    <w:rsid w:val="00597031"/>
    <w:rsid w:val="005978A0"/>
    <w:rsid w:val="00597A30"/>
    <w:rsid w:val="00597A74"/>
    <w:rsid w:val="00597E5D"/>
    <w:rsid w:val="00597FA3"/>
    <w:rsid w:val="005A0129"/>
    <w:rsid w:val="005A0EFB"/>
    <w:rsid w:val="005A1885"/>
    <w:rsid w:val="005A21BC"/>
    <w:rsid w:val="005A2571"/>
    <w:rsid w:val="005A2810"/>
    <w:rsid w:val="005A3963"/>
    <w:rsid w:val="005A3CA5"/>
    <w:rsid w:val="005A44CA"/>
    <w:rsid w:val="005A4CCA"/>
    <w:rsid w:val="005A515D"/>
    <w:rsid w:val="005A5A32"/>
    <w:rsid w:val="005A5C2A"/>
    <w:rsid w:val="005A5C9B"/>
    <w:rsid w:val="005A6AC4"/>
    <w:rsid w:val="005A6AE8"/>
    <w:rsid w:val="005A7007"/>
    <w:rsid w:val="005A72D7"/>
    <w:rsid w:val="005A73B5"/>
    <w:rsid w:val="005A7911"/>
    <w:rsid w:val="005A7BE4"/>
    <w:rsid w:val="005B035A"/>
    <w:rsid w:val="005B0468"/>
    <w:rsid w:val="005B0BCF"/>
    <w:rsid w:val="005B10D9"/>
    <w:rsid w:val="005B1589"/>
    <w:rsid w:val="005B16E7"/>
    <w:rsid w:val="005B175D"/>
    <w:rsid w:val="005B197F"/>
    <w:rsid w:val="005B1C5D"/>
    <w:rsid w:val="005B2434"/>
    <w:rsid w:val="005B2748"/>
    <w:rsid w:val="005B2B3E"/>
    <w:rsid w:val="005B2C29"/>
    <w:rsid w:val="005B2DF0"/>
    <w:rsid w:val="005B32E1"/>
    <w:rsid w:val="005B3401"/>
    <w:rsid w:val="005B3653"/>
    <w:rsid w:val="005B3700"/>
    <w:rsid w:val="005B372F"/>
    <w:rsid w:val="005B3AF5"/>
    <w:rsid w:val="005B4024"/>
    <w:rsid w:val="005B4374"/>
    <w:rsid w:val="005B4559"/>
    <w:rsid w:val="005B4689"/>
    <w:rsid w:val="005B4C2D"/>
    <w:rsid w:val="005B5237"/>
    <w:rsid w:val="005B54E9"/>
    <w:rsid w:val="005B5773"/>
    <w:rsid w:val="005B5BCD"/>
    <w:rsid w:val="005B6604"/>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2A6"/>
    <w:rsid w:val="005C3A1E"/>
    <w:rsid w:val="005C3FEE"/>
    <w:rsid w:val="005C408D"/>
    <w:rsid w:val="005C4796"/>
    <w:rsid w:val="005C4E3B"/>
    <w:rsid w:val="005C4F64"/>
    <w:rsid w:val="005C5AE4"/>
    <w:rsid w:val="005C5C59"/>
    <w:rsid w:val="005C5E87"/>
    <w:rsid w:val="005C5F0E"/>
    <w:rsid w:val="005C60CB"/>
    <w:rsid w:val="005C64A4"/>
    <w:rsid w:val="005C6A2F"/>
    <w:rsid w:val="005C70EE"/>
    <w:rsid w:val="005C71AA"/>
    <w:rsid w:val="005C73FB"/>
    <w:rsid w:val="005C7C55"/>
    <w:rsid w:val="005C7FB2"/>
    <w:rsid w:val="005D051A"/>
    <w:rsid w:val="005D08F9"/>
    <w:rsid w:val="005D0A1C"/>
    <w:rsid w:val="005D114B"/>
    <w:rsid w:val="005D2250"/>
    <w:rsid w:val="005D25CB"/>
    <w:rsid w:val="005D2E43"/>
    <w:rsid w:val="005D30DB"/>
    <w:rsid w:val="005D3640"/>
    <w:rsid w:val="005D3712"/>
    <w:rsid w:val="005D3747"/>
    <w:rsid w:val="005D4088"/>
    <w:rsid w:val="005D43CB"/>
    <w:rsid w:val="005D46E5"/>
    <w:rsid w:val="005D4951"/>
    <w:rsid w:val="005D6209"/>
    <w:rsid w:val="005D6312"/>
    <w:rsid w:val="005D707E"/>
    <w:rsid w:val="005D7574"/>
    <w:rsid w:val="005D77BD"/>
    <w:rsid w:val="005D7867"/>
    <w:rsid w:val="005D7EEA"/>
    <w:rsid w:val="005D7F1C"/>
    <w:rsid w:val="005D7F79"/>
    <w:rsid w:val="005E0670"/>
    <w:rsid w:val="005E0989"/>
    <w:rsid w:val="005E0A3F"/>
    <w:rsid w:val="005E0EE0"/>
    <w:rsid w:val="005E0F68"/>
    <w:rsid w:val="005E0FB0"/>
    <w:rsid w:val="005E12E0"/>
    <w:rsid w:val="005E1717"/>
    <w:rsid w:val="005E1A87"/>
    <w:rsid w:val="005E1A9F"/>
    <w:rsid w:val="005E1E33"/>
    <w:rsid w:val="005E2907"/>
    <w:rsid w:val="005E2B9E"/>
    <w:rsid w:val="005E3057"/>
    <w:rsid w:val="005E3375"/>
    <w:rsid w:val="005E3499"/>
    <w:rsid w:val="005E3957"/>
    <w:rsid w:val="005E3A2A"/>
    <w:rsid w:val="005E3EA2"/>
    <w:rsid w:val="005E42E3"/>
    <w:rsid w:val="005E5002"/>
    <w:rsid w:val="005E50DF"/>
    <w:rsid w:val="005E53B2"/>
    <w:rsid w:val="005E53F6"/>
    <w:rsid w:val="005E567F"/>
    <w:rsid w:val="005E59EE"/>
    <w:rsid w:val="005E5D7B"/>
    <w:rsid w:val="005E6143"/>
    <w:rsid w:val="005E618A"/>
    <w:rsid w:val="005E6419"/>
    <w:rsid w:val="005E6475"/>
    <w:rsid w:val="005E661E"/>
    <w:rsid w:val="005E670D"/>
    <w:rsid w:val="005E6B8D"/>
    <w:rsid w:val="005E6F26"/>
    <w:rsid w:val="005E7BE5"/>
    <w:rsid w:val="005E7E1E"/>
    <w:rsid w:val="005F09AA"/>
    <w:rsid w:val="005F0E48"/>
    <w:rsid w:val="005F120A"/>
    <w:rsid w:val="005F1247"/>
    <w:rsid w:val="005F12B4"/>
    <w:rsid w:val="005F162B"/>
    <w:rsid w:val="005F2811"/>
    <w:rsid w:val="005F2ED8"/>
    <w:rsid w:val="005F32FC"/>
    <w:rsid w:val="005F33C2"/>
    <w:rsid w:val="005F374A"/>
    <w:rsid w:val="005F3781"/>
    <w:rsid w:val="005F3C83"/>
    <w:rsid w:val="005F4066"/>
    <w:rsid w:val="005F411A"/>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40AB"/>
    <w:rsid w:val="006043AE"/>
    <w:rsid w:val="00604699"/>
    <w:rsid w:val="006046D4"/>
    <w:rsid w:val="0060482E"/>
    <w:rsid w:val="00604F99"/>
    <w:rsid w:val="00605251"/>
    <w:rsid w:val="00605D5C"/>
    <w:rsid w:val="00606840"/>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CE"/>
    <w:rsid w:val="006138C0"/>
    <w:rsid w:val="00613A29"/>
    <w:rsid w:val="00613EF5"/>
    <w:rsid w:val="0061441E"/>
    <w:rsid w:val="006147E5"/>
    <w:rsid w:val="006149DB"/>
    <w:rsid w:val="00615836"/>
    <w:rsid w:val="00615D2C"/>
    <w:rsid w:val="00615DFD"/>
    <w:rsid w:val="00615E6C"/>
    <w:rsid w:val="00616104"/>
    <w:rsid w:val="00616AAF"/>
    <w:rsid w:val="006173C1"/>
    <w:rsid w:val="00617584"/>
    <w:rsid w:val="006176D9"/>
    <w:rsid w:val="00617B03"/>
    <w:rsid w:val="00617E61"/>
    <w:rsid w:val="0062059F"/>
    <w:rsid w:val="00620605"/>
    <w:rsid w:val="00620751"/>
    <w:rsid w:val="006207FA"/>
    <w:rsid w:val="006211CD"/>
    <w:rsid w:val="00621247"/>
    <w:rsid w:val="006226A2"/>
    <w:rsid w:val="00622E44"/>
    <w:rsid w:val="00623453"/>
    <w:rsid w:val="00623C52"/>
    <w:rsid w:val="00623CD9"/>
    <w:rsid w:val="00624692"/>
    <w:rsid w:val="006248CA"/>
    <w:rsid w:val="00624A65"/>
    <w:rsid w:val="00625445"/>
    <w:rsid w:val="00625876"/>
    <w:rsid w:val="00625BE9"/>
    <w:rsid w:val="0062612B"/>
    <w:rsid w:val="006267F7"/>
    <w:rsid w:val="0062731C"/>
    <w:rsid w:val="006309E0"/>
    <w:rsid w:val="006311F1"/>
    <w:rsid w:val="006314C2"/>
    <w:rsid w:val="00631843"/>
    <w:rsid w:val="00631C37"/>
    <w:rsid w:val="0063209E"/>
    <w:rsid w:val="006320EC"/>
    <w:rsid w:val="0063233E"/>
    <w:rsid w:val="0063260C"/>
    <w:rsid w:val="006326C5"/>
    <w:rsid w:val="00632A6F"/>
    <w:rsid w:val="00632AF3"/>
    <w:rsid w:val="00633754"/>
    <w:rsid w:val="006337E6"/>
    <w:rsid w:val="00633965"/>
    <w:rsid w:val="0063405A"/>
    <w:rsid w:val="0063495A"/>
    <w:rsid w:val="006356E5"/>
    <w:rsid w:val="00635743"/>
    <w:rsid w:val="00635AD4"/>
    <w:rsid w:val="00636B48"/>
    <w:rsid w:val="00636CD7"/>
    <w:rsid w:val="00636CE4"/>
    <w:rsid w:val="0063794E"/>
    <w:rsid w:val="00637AF9"/>
    <w:rsid w:val="00640454"/>
    <w:rsid w:val="006406EE"/>
    <w:rsid w:val="00641023"/>
    <w:rsid w:val="006412EB"/>
    <w:rsid w:val="00641482"/>
    <w:rsid w:val="00641A26"/>
    <w:rsid w:val="00641E21"/>
    <w:rsid w:val="0064274E"/>
    <w:rsid w:val="00642AF6"/>
    <w:rsid w:val="00642E5B"/>
    <w:rsid w:val="00642EEF"/>
    <w:rsid w:val="0064302D"/>
    <w:rsid w:val="006438FE"/>
    <w:rsid w:val="006440AB"/>
    <w:rsid w:val="00644D2E"/>
    <w:rsid w:val="006459AD"/>
    <w:rsid w:val="006464AC"/>
    <w:rsid w:val="006469C2"/>
    <w:rsid w:val="00646A3A"/>
    <w:rsid w:val="00646F69"/>
    <w:rsid w:val="00647013"/>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B3C"/>
    <w:rsid w:val="00653F1C"/>
    <w:rsid w:val="0065423E"/>
    <w:rsid w:val="00654637"/>
    <w:rsid w:val="0065486D"/>
    <w:rsid w:val="00654A03"/>
    <w:rsid w:val="00654CF7"/>
    <w:rsid w:val="00654D82"/>
    <w:rsid w:val="00654FEE"/>
    <w:rsid w:val="0065544D"/>
    <w:rsid w:val="006554E5"/>
    <w:rsid w:val="00655915"/>
    <w:rsid w:val="00656380"/>
    <w:rsid w:val="00656AE0"/>
    <w:rsid w:val="00656BDE"/>
    <w:rsid w:val="00656DBF"/>
    <w:rsid w:val="00657160"/>
    <w:rsid w:val="006573F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59B"/>
    <w:rsid w:val="00664D95"/>
    <w:rsid w:val="00664FC5"/>
    <w:rsid w:val="00665539"/>
    <w:rsid w:val="00665594"/>
    <w:rsid w:val="0066586D"/>
    <w:rsid w:val="006658F0"/>
    <w:rsid w:val="00665F0E"/>
    <w:rsid w:val="006662BA"/>
    <w:rsid w:val="00666332"/>
    <w:rsid w:val="0066642F"/>
    <w:rsid w:val="006666FD"/>
    <w:rsid w:val="00666DDF"/>
    <w:rsid w:val="006673D9"/>
    <w:rsid w:val="00667620"/>
    <w:rsid w:val="006678C9"/>
    <w:rsid w:val="00667D51"/>
    <w:rsid w:val="00667DB3"/>
    <w:rsid w:val="006703D5"/>
    <w:rsid w:val="00670491"/>
    <w:rsid w:val="00670B23"/>
    <w:rsid w:val="00670F01"/>
    <w:rsid w:val="00670F08"/>
    <w:rsid w:val="00671112"/>
    <w:rsid w:val="006711CD"/>
    <w:rsid w:val="00671274"/>
    <w:rsid w:val="006714BD"/>
    <w:rsid w:val="006714CE"/>
    <w:rsid w:val="006715D7"/>
    <w:rsid w:val="00671C83"/>
    <w:rsid w:val="00671FC2"/>
    <w:rsid w:val="00672021"/>
    <w:rsid w:val="006724B7"/>
    <w:rsid w:val="00672626"/>
    <w:rsid w:val="00672876"/>
    <w:rsid w:val="006729FC"/>
    <w:rsid w:val="00672DD5"/>
    <w:rsid w:val="00672F78"/>
    <w:rsid w:val="0067339C"/>
    <w:rsid w:val="006734BE"/>
    <w:rsid w:val="006735F3"/>
    <w:rsid w:val="00673D32"/>
    <w:rsid w:val="00674859"/>
    <w:rsid w:val="00675366"/>
    <w:rsid w:val="006759CB"/>
    <w:rsid w:val="00675D32"/>
    <w:rsid w:val="00675E99"/>
    <w:rsid w:val="006760DF"/>
    <w:rsid w:val="0067611A"/>
    <w:rsid w:val="00676157"/>
    <w:rsid w:val="0067626D"/>
    <w:rsid w:val="0067642C"/>
    <w:rsid w:val="00676A74"/>
    <w:rsid w:val="00676B58"/>
    <w:rsid w:val="00676D5D"/>
    <w:rsid w:val="00677E3B"/>
    <w:rsid w:val="00680148"/>
    <w:rsid w:val="00680C9E"/>
    <w:rsid w:val="00680F5B"/>
    <w:rsid w:val="006815AE"/>
    <w:rsid w:val="00682164"/>
    <w:rsid w:val="006821A3"/>
    <w:rsid w:val="0068230C"/>
    <w:rsid w:val="00682BA5"/>
    <w:rsid w:val="00682FA5"/>
    <w:rsid w:val="0068316A"/>
    <w:rsid w:val="006834D8"/>
    <w:rsid w:val="006835B1"/>
    <w:rsid w:val="00683AC0"/>
    <w:rsid w:val="00683CCE"/>
    <w:rsid w:val="00683DEA"/>
    <w:rsid w:val="00683F05"/>
    <w:rsid w:val="00684242"/>
    <w:rsid w:val="006843EE"/>
    <w:rsid w:val="0068446A"/>
    <w:rsid w:val="006846A5"/>
    <w:rsid w:val="00684B43"/>
    <w:rsid w:val="00684D70"/>
    <w:rsid w:val="0068510C"/>
    <w:rsid w:val="006858F0"/>
    <w:rsid w:val="00685937"/>
    <w:rsid w:val="00685DBD"/>
    <w:rsid w:val="0068612F"/>
    <w:rsid w:val="00686EF0"/>
    <w:rsid w:val="00687B93"/>
    <w:rsid w:val="00687E4C"/>
    <w:rsid w:val="00687F21"/>
    <w:rsid w:val="00690574"/>
    <w:rsid w:val="00690A36"/>
    <w:rsid w:val="00690B2B"/>
    <w:rsid w:val="00690C85"/>
    <w:rsid w:val="0069106C"/>
    <w:rsid w:val="0069113C"/>
    <w:rsid w:val="00691433"/>
    <w:rsid w:val="006914E7"/>
    <w:rsid w:val="006916AA"/>
    <w:rsid w:val="00691C48"/>
    <w:rsid w:val="00691D6E"/>
    <w:rsid w:val="00692436"/>
    <w:rsid w:val="00692D16"/>
    <w:rsid w:val="00692FF7"/>
    <w:rsid w:val="006930BD"/>
    <w:rsid w:val="0069324C"/>
    <w:rsid w:val="006932EF"/>
    <w:rsid w:val="006935B3"/>
    <w:rsid w:val="0069394E"/>
    <w:rsid w:val="00694387"/>
    <w:rsid w:val="006943A2"/>
    <w:rsid w:val="00694761"/>
    <w:rsid w:val="00694840"/>
    <w:rsid w:val="0069509B"/>
    <w:rsid w:val="006951E2"/>
    <w:rsid w:val="006952B6"/>
    <w:rsid w:val="00695A32"/>
    <w:rsid w:val="006960FC"/>
    <w:rsid w:val="006964C6"/>
    <w:rsid w:val="00696852"/>
    <w:rsid w:val="00696F0E"/>
    <w:rsid w:val="00697379"/>
    <w:rsid w:val="00697393"/>
    <w:rsid w:val="006976BB"/>
    <w:rsid w:val="006977BF"/>
    <w:rsid w:val="006978ED"/>
    <w:rsid w:val="00697AF3"/>
    <w:rsid w:val="006A015F"/>
    <w:rsid w:val="006A0BEE"/>
    <w:rsid w:val="006A114F"/>
    <w:rsid w:val="006A1599"/>
    <w:rsid w:val="006A1624"/>
    <w:rsid w:val="006A184C"/>
    <w:rsid w:val="006A2C78"/>
    <w:rsid w:val="006A3481"/>
    <w:rsid w:val="006A361D"/>
    <w:rsid w:val="006A3870"/>
    <w:rsid w:val="006A3AF9"/>
    <w:rsid w:val="006A433E"/>
    <w:rsid w:val="006A454B"/>
    <w:rsid w:val="006A46C0"/>
    <w:rsid w:val="006A4D83"/>
    <w:rsid w:val="006A4E72"/>
    <w:rsid w:val="006A4F97"/>
    <w:rsid w:val="006A52EE"/>
    <w:rsid w:val="006A59AC"/>
    <w:rsid w:val="006A6E5D"/>
    <w:rsid w:val="006A756A"/>
    <w:rsid w:val="006A7E3F"/>
    <w:rsid w:val="006B020C"/>
    <w:rsid w:val="006B07A9"/>
    <w:rsid w:val="006B1105"/>
    <w:rsid w:val="006B1158"/>
    <w:rsid w:val="006B15AD"/>
    <w:rsid w:val="006B3446"/>
    <w:rsid w:val="006B38BE"/>
    <w:rsid w:val="006B3921"/>
    <w:rsid w:val="006B3D8C"/>
    <w:rsid w:val="006B4618"/>
    <w:rsid w:val="006B4AFB"/>
    <w:rsid w:val="006B4F01"/>
    <w:rsid w:val="006B5165"/>
    <w:rsid w:val="006B58A1"/>
    <w:rsid w:val="006B5C2D"/>
    <w:rsid w:val="006B618C"/>
    <w:rsid w:val="006B70F4"/>
    <w:rsid w:val="006B7470"/>
    <w:rsid w:val="006B74D3"/>
    <w:rsid w:val="006B7656"/>
    <w:rsid w:val="006B7810"/>
    <w:rsid w:val="006B7845"/>
    <w:rsid w:val="006B7867"/>
    <w:rsid w:val="006C00BB"/>
    <w:rsid w:val="006C0638"/>
    <w:rsid w:val="006C09E4"/>
    <w:rsid w:val="006C0B2A"/>
    <w:rsid w:val="006C0ED8"/>
    <w:rsid w:val="006C102B"/>
    <w:rsid w:val="006C1144"/>
    <w:rsid w:val="006C1185"/>
    <w:rsid w:val="006C16F4"/>
    <w:rsid w:val="006C1B63"/>
    <w:rsid w:val="006C1F1B"/>
    <w:rsid w:val="006C1F97"/>
    <w:rsid w:val="006C2872"/>
    <w:rsid w:val="006C2881"/>
    <w:rsid w:val="006C2C5B"/>
    <w:rsid w:val="006C3181"/>
    <w:rsid w:val="006C3DDE"/>
    <w:rsid w:val="006C4075"/>
    <w:rsid w:val="006C4C5E"/>
    <w:rsid w:val="006C57B2"/>
    <w:rsid w:val="006C6B6F"/>
    <w:rsid w:val="006C722C"/>
    <w:rsid w:val="006C7528"/>
    <w:rsid w:val="006C77ED"/>
    <w:rsid w:val="006C783F"/>
    <w:rsid w:val="006C798A"/>
    <w:rsid w:val="006C7A48"/>
    <w:rsid w:val="006C7E40"/>
    <w:rsid w:val="006D05DB"/>
    <w:rsid w:val="006D0894"/>
    <w:rsid w:val="006D1564"/>
    <w:rsid w:val="006D179A"/>
    <w:rsid w:val="006D1EAB"/>
    <w:rsid w:val="006D21E9"/>
    <w:rsid w:val="006D22F6"/>
    <w:rsid w:val="006D257F"/>
    <w:rsid w:val="006D311A"/>
    <w:rsid w:val="006D341F"/>
    <w:rsid w:val="006D35EA"/>
    <w:rsid w:val="006D37AF"/>
    <w:rsid w:val="006D3A1F"/>
    <w:rsid w:val="006D3A52"/>
    <w:rsid w:val="006D4403"/>
    <w:rsid w:val="006D4720"/>
    <w:rsid w:val="006D47E1"/>
    <w:rsid w:val="006D4DF2"/>
    <w:rsid w:val="006D4FA9"/>
    <w:rsid w:val="006D5019"/>
    <w:rsid w:val="006D501E"/>
    <w:rsid w:val="006D50CD"/>
    <w:rsid w:val="006D5274"/>
    <w:rsid w:val="006D5A63"/>
    <w:rsid w:val="006D5B26"/>
    <w:rsid w:val="006D5D56"/>
    <w:rsid w:val="006D66F4"/>
    <w:rsid w:val="006D6D49"/>
    <w:rsid w:val="006D6DB7"/>
    <w:rsid w:val="006D70E0"/>
    <w:rsid w:val="006D7856"/>
    <w:rsid w:val="006D7A8B"/>
    <w:rsid w:val="006E0181"/>
    <w:rsid w:val="006E0F71"/>
    <w:rsid w:val="006E13AE"/>
    <w:rsid w:val="006E16AA"/>
    <w:rsid w:val="006E1F6D"/>
    <w:rsid w:val="006E2A14"/>
    <w:rsid w:val="006E2EF7"/>
    <w:rsid w:val="006E3227"/>
    <w:rsid w:val="006E3498"/>
    <w:rsid w:val="006E3841"/>
    <w:rsid w:val="006E3C64"/>
    <w:rsid w:val="006E3D8A"/>
    <w:rsid w:val="006E4199"/>
    <w:rsid w:val="006E43F6"/>
    <w:rsid w:val="006E450A"/>
    <w:rsid w:val="006E46D5"/>
    <w:rsid w:val="006E4CA2"/>
    <w:rsid w:val="006E4D80"/>
    <w:rsid w:val="006E4E3E"/>
    <w:rsid w:val="006E532B"/>
    <w:rsid w:val="006E5464"/>
    <w:rsid w:val="006E5EE8"/>
    <w:rsid w:val="006E6B3E"/>
    <w:rsid w:val="006E6D3C"/>
    <w:rsid w:val="006E6E49"/>
    <w:rsid w:val="006E7108"/>
    <w:rsid w:val="006E718A"/>
    <w:rsid w:val="006E71F1"/>
    <w:rsid w:val="006E78A2"/>
    <w:rsid w:val="006E7D1E"/>
    <w:rsid w:val="006F061A"/>
    <w:rsid w:val="006F0766"/>
    <w:rsid w:val="006F0B1D"/>
    <w:rsid w:val="006F0F53"/>
    <w:rsid w:val="006F195F"/>
    <w:rsid w:val="006F1CEE"/>
    <w:rsid w:val="006F1F96"/>
    <w:rsid w:val="006F21DA"/>
    <w:rsid w:val="006F2870"/>
    <w:rsid w:val="006F28CA"/>
    <w:rsid w:val="006F2D05"/>
    <w:rsid w:val="006F2DD0"/>
    <w:rsid w:val="006F3AED"/>
    <w:rsid w:val="006F434D"/>
    <w:rsid w:val="006F5A43"/>
    <w:rsid w:val="006F618D"/>
    <w:rsid w:val="006F61DF"/>
    <w:rsid w:val="006F650B"/>
    <w:rsid w:val="006F67AF"/>
    <w:rsid w:val="006F69CF"/>
    <w:rsid w:val="006F70EF"/>
    <w:rsid w:val="007014EC"/>
    <w:rsid w:val="007018F0"/>
    <w:rsid w:val="007019F6"/>
    <w:rsid w:val="00701F04"/>
    <w:rsid w:val="007024FD"/>
    <w:rsid w:val="0070267F"/>
    <w:rsid w:val="00702733"/>
    <w:rsid w:val="00702CAB"/>
    <w:rsid w:val="007033E8"/>
    <w:rsid w:val="00703521"/>
    <w:rsid w:val="00703732"/>
    <w:rsid w:val="0070383F"/>
    <w:rsid w:val="00703DA0"/>
    <w:rsid w:val="0070438D"/>
    <w:rsid w:val="00704407"/>
    <w:rsid w:val="00704D58"/>
    <w:rsid w:val="00704F98"/>
    <w:rsid w:val="00704FF7"/>
    <w:rsid w:val="007052B0"/>
    <w:rsid w:val="00705558"/>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162B"/>
    <w:rsid w:val="0071251B"/>
    <w:rsid w:val="007125DE"/>
    <w:rsid w:val="00712750"/>
    <w:rsid w:val="00712967"/>
    <w:rsid w:val="00712E4D"/>
    <w:rsid w:val="0071312F"/>
    <w:rsid w:val="00713667"/>
    <w:rsid w:val="0071384D"/>
    <w:rsid w:val="00713A49"/>
    <w:rsid w:val="00713A52"/>
    <w:rsid w:val="00713B49"/>
    <w:rsid w:val="00713BA4"/>
    <w:rsid w:val="00713BAD"/>
    <w:rsid w:val="00713CCA"/>
    <w:rsid w:val="00713ED4"/>
    <w:rsid w:val="00713EF8"/>
    <w:rsid w:val="00714427"/>
    <w:rsid w:val="00714741"/>
    <w:rsid w:val="00714C37"/>
    <w:rsid w:val="00714C8E"/>
    <w:rsid w:val="007156A6"/>
    <w:rsid w:val="0071574D"/>
    <w:rsid w:val="00715DF7"/>
    <w:rsid w:val="00715E0F"/>
    <w:rsid w:val="00716567"/>
    <w:rsid w:val="00716847"/>
    <w:rsid w:val="00716F33"/>
    <w:rsid w:val="0071747F"/>
    <w:rsid w:val="00717754"/>
    <w:rsid w:val="00717B7A"/>
    <w:rsid w:val="00717B81"/>
    <w:rsid w:val="00720327"/>
    <w:rsid w:val="00720BDD"/>
    <w:rsid w:val="0072101F"/>
    <w:rsid w:val="007212CB"/>
    <w:rsid w:val="0072166A"/>
    <w:rsid w:val="00721EE9"/>
    <w:rsid w:val="007221A9"/>
    <w:rsid w:val="00722732"/>
    <w:rsid w:val="0072369E"/>
    <w:rsid w:val="007238A9"/>
    <w:rsid w:val="00723B88"/>
    <w:rsid w:val="00723B94"/>
    <w:rsid w:val="00723E43"/>
    <w:rsid w:val="007240EE"/>
    <w:rsid w:val="007243FC"/>
    <w:rsid w:val="00724512"/>
    <w:rsid w:val="00724D36"/>
    <w:rsid w:val="00724E80"/>
    <w:rsid w:val="00724F48"/>
    <w:rsid w:val="00724FD0"/>
    <w:rsid w:val="00725400"/>
    <w:rsid w:val="0072547C"/>
    <w:rsid w:val="00725EF0"/>
    <w:rsid w:val="0072604F"/>
    <w:rsid w:val="00726BFF"/>
    <w:rsid w:val="00727213"/>
    <w:rsid w:val="0072742F"/>
    <w:rsid w:val="0072782D"/>
    <w:rsid w:val="00727F78"/>
    <w:rsid w:val="007306DE"/>
    <w:rsid w:val="0073139C"/>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B78"/>
    <w:rsid w:val="00734D2F"/>
    <w:rsid w:val="00734F0F"/>
    <w:rsid w:val="0073510D"/>
    <w:rsid w:val="0073518A"/>
    <w:rsid w:val="00735226"/>
    <w:rsid w:val="00735609"/>
    <w:rsid w:val="00735BBB"/>
    <w:rsid w:val="00735C53"/>
    <w:rsid w:val="00736743"/>
    <w:rsid w:val="00736E50"/>
    <w:rsid w:val="007373FD"/>
    <w:rsid w:val="00737A7A"/>
    <w:rsid w:val="00737B61"/>
    <w:rsid w:val="00737FE5"/>
    <w:rsid w:val="007401D9"/>
    <w:rsid w:val="00740460"/>
    <w:rsid w:val="0074051D"/>
    <w:rsid w:val="00740F24"/>
    <w:rsid w:val="00741B45"/>
    <w:rsid w:val="00741E2F"/>
    <w:rsid w:val="00741EC9"/>
    <w:rsid w:val="00742082"/>
    <w:rsid w:val="0074246F"/>
    <w:rsid w:val="007429D7"/>
    <w:rsid w:val="007429ED"/>
    <w:rsid w:val="00742A67"/>
    <w:rsid w:val="007430CA"/>
    <w:rsid w:val="007436A4"/>
    <w:rsid w:val="00743DC3"/>
    <w:rsid w:val="00743F94"/>
    <w:rsid w:val="007443B6"/>
    <w:rsid w:val="00744508"/>
    <w:rsid w:val="00744E39"/>
    <w:rsid w:val="007450A7"/>
    <w:rsid w:val="00745692"/>
    <w:rsid w:val="007464FB"/>
    <w:rsid w:val="0074704B"/>
    <w:rsid w:val="007474DC"/>
    <w:rsid w:val="00747741"/>
    <w:rsid w:val="00747A9B"/>
    <w:rsid w:val="00747D86"/>
    <w:rsid w:val="007501D2"/>
    <w:rsid w:val="0075064B"/>
    <w:rsid w:val="00750C6B"/>
    <w:rsid w:val="00750DF9"/>
    <w:rsid w:val="00750EB3"/>
    <w:rsid w:val="00751212"/>
    <w:rsid w:val="00751715"/>
    <w:rsid w:val="0075198E"/>
    <w:rsid w:val="00752066"/>
    <w:rsid w:val="00752071"/>
    <w:rsid w:val="007529C8"/>
    <w:rsid w:val="00753B48"/>
    <w:rsid w:val="00753EB2"/>
    <w:rsid w:val="0075428E"/>
    <w:rsid w:val="007542B0"/>
    <w:rsid w:val="00754429"/>
    <w:rsid w:val="00754696"/>
    <w:rsid w:val="00754B16"/>
    <w:rsid w:val="00754D0A"/>
    <w:rsid w:val="007553B1"/>
    <w:rsid w:val="00756A0A"/>
    <w:rsid w:val="0075719C"/>
    <w:rsid w:val="0075766C"/>
    <w:rsid w:val="007577CE"/>
    <w:rsid w:val="007579E1"/>
    <w:rsid w:val="00757B91"/>
    <w:rsid w:val="007607CE"/>
    <w:rsid w:val="00760AD3"/>
    <w:rsid w:val="00760DF0"/>
    <w:rsid w:val="00760F06"/>
    <w:rsid w:val="007615E4"/>
    <w:rsid w:val="0076186B"/>
    <w:rsid w:val="00761E0D"/>
    <w:rsid w:val="00762133"/>
    <w:rsid w:val="0076230C"/>
    <w:rsid w:val="00762DD6"/>
    <w:rsid w:val="00762F71"/>
    <w:rsid w:val="00762FDB"/>
    <w:rsid w:val="00763152"/>
    <w:rsid w:val="00763529"/>
    <w:rsid w:val="00763648"/>
    <w:rsid w:val="00763693"/>
    <w:rsid w:val="00763A62"/>
    <w:rsid w:val="007640A5"/>
    <w:rsid w:val="007642FF"/>
    <w:rsid w:val="0076489E"/>
    <w:rsid w:val="007648E6"/>
    <w:rsid w:val="007650A2"/>
    <w:rsid w:val="00765995"/>
    <w:rsid w:val="00765E01"/>
    <w:rsid w:val="00765E98"/>
    <w:rsid w:val="00766416"/>
    <w:rsid w:val="00766422"/>
    <w:rsid w:val="0076677B"/>
    <w:rsid w:val="00766B23"/>
    <w:rsid w:val="00766B5F"/>
    <w:rsid w:val="00766CA5"/>
    <w:rsid w:val="00767582"/>
    <w:rsid w:val="00767D7B"/>
    <w:rsid w:val="00767F3E"/>
    <w:rsid w:val="00770427"/>
    <w:rsid w:val="0077045B"/>
    <w:rsid w:val="00770887"/>
    <w:rsid w:val="007708DC"/>
    <w:rsid w:val="00770982"/>
    <w:rsid w:val="00770EBA"/>
    <w:rsid w:val="007727F1"/>
    <w:rsid w:val="00772CAA"/>
    <w:rsid w:val="00772D55"/>
    <w:rsid w:val="00772EF8"/>
    <w:rsid w:val="007730CC"/>
    <w:rsid w:val="0077322E"/>
    <w:rsid w:val="00773772"/>
    <w:rsid w:val="00773E4A"/>
    <w:rsid w:val="00774716"/>
    <w:rsid w:val="0077484D"/>
    <w:rsid w:val="00774DE7"/>
    <w:rsid w:val="007752F8"/>
    <w:rsid w:val="0077599E"/>
    <w:rsid w:val="007759E0"/>
    <w:rsid w:val="00775AF6"/>
    <w:rsid w:val="00776409"/>
    <w:rsid w:val="007766A4"/>
    <w:rsid w:val="00776784"/>
    <w:rsid w:val="007767C5"/>
    <w:rsid w:val="00776B05"/>
    <w:rsid w:val="007770A7"/>
    <w:rsid w:val="0077785A"/>
    <w:rsid w:val="00777E17"/>
    <w:rsid w:val="00780319"/>
    <w:rsid w:val="007803D0"/>
    <w:rsid w:val="00780ABC"/>
    <w:rsid w:val="00780C15"/>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6292"/>
    <w:rsid w:val="00786309"/>
    <w:rsid w:val="00786515"/>
    <w:rsid w:val="007866E5"/>
    <w:rsid w:val="00786C75"/>
    <w:rsid w:val="00786D58"/>
    <w:rsid w:val="00787276"/>
    <w:rsid w:val="0078727E"/>
    <w:rsid w:val="00787CCA"/>
    <w:rsid w:val="00790251"/>
    <w:rsid w:val="00790C39"/>
    <w:rsid w:val="00790D24"/>
    <w:rsid w:val="00791215"/>
    <w:rsid w:val="0079130C"/>
    <w:rsid w:val="00791884"/>
    <w:rsid w:val="007919BA"/>
    <w:rsid w:val="00791EE4"/>
    <w:rsid w:val="00792348"/>
    <w:rsid w:val="00792849"/>
    <w:rsid w:val="00792BF4"/>
    <w:rsid w:val="00792C85"/>
    <w:rsid w:val="00792F8D"/>
    <w:rsid w:val="00793281"/>
    <w:rsid w:val="007950CE"/>
    <w:rsid w:val="007957B6"/>
    <w:rsid w:val="007961AA"/>
    <w:rsid w:val="0079645D"/>
    <w:rsid w:val="00796BDD"/>
    <w:rsid w:val="00796C8D"/>
    <w:rsid w:val="00796DE6"/>
    <w:rsid w:val="00797250"/>
    <w:rsid w:val="007977B0"/>
    <w:rsid w:val="00797848"/>
    <w:rsid w:val="00797A1F"/>
    <w:rsid w:val="007A05F4"/>
    <w:rsid w:val="007A098C"/>
    <w:rsid w:val="007A0DF3"/>
    <w:rsid w:val="007A10A3"/>
    <w:rsid w:val="007A126F"/>
    <w:rsid w:val="007A12F9"/>
    <w:rsid w:val="007A1642"/>
    <w:rsid w:val="007A2B3E"/>
    <w:rsid w:val="007A2EAC"/>
    <w:rsid w:val="007A3260"/>
    <w:rsid w:val="007A3376"/>
    <w:rsid w:val="007A34B2"/>
    <w:rsid w:val="007A38E9"/>
    <w:rsid w:val="007A41D4"/>
    <w:rsid w:val="007A4208"/>
    <w:rsid w:val="007A445E"/>
    <w:rsid w:val="007A4EC2"/>
    <w:rsid w:val="007A50B2"/>
    <w:rsid w:val="007A62E3"/>
    <w:rsid w:val="007A6B37"/>
    <w:rsid w:val="007A7191"/>
    <w:rsid w:val="007A7205"/>
    <w:rsid w:val="007A7314"/>
    <w:rsid w:val="007A78EA"/>
    <w:rsid w:val="007B008F"/>
    <w:rsid w:val="007B04F5"/>
    <w:rsid w:val="007B110E"/>
    <w:rsid w:val="007B19FE"/>
    <w:rsid w:val="007B1E5A"/>
    <w:rsid w:val="007B3315"/>
    <w:rsid w:val="007B3369"/>
    <w:rsid w:val="007B3549"/>
    <w:rsid w:val="007B3621"/>
    <w:rsid w:val="007B386C"/>
    <w:rsid w:val="007B442C"/>
    <w:rsid w:val="007B4A82"/>
    <w:rsid w:val="007B4AD3"/>
    <w:rsid w:val="007B523F"/>
    <w:rsid w:val="007B52A7"/>
    <w:rsid w:val="007B6007"/>
    <w:rsid w:val="007B626B"/>
    <w:rsid w:val="007B64AA"/>
    <w:rsid w:val="007B7198"/>
    <w:rsid w:val="007B7302"/>
    <w:rsid w:val="007B7451"/>
    <w:rsid w:val="007B7497"/>
    <w:rsid w:val="007B776B"/>
    <w:rsid w:val="007B7D81"/>
    <w:rsid w:val="007B7DB7"/>
    <w:rsid w:val="007B7F69"/>
    <w:rsid w:val="007C03CB"/>
    <w:rsid w:val="007C1025"/>
    <w:rsid w:val="007C1321"/>
    <w:rsid w:val="007C1790"/>
    <w:rsid w:val="007C18CB"/>
    <w:rsid w:val="007C1FFB"/>
    <w:rsid w:val="007C2392"/>
    <w:rsid w:val="007C24EE"/>
    <w:rsid w:val="007C2A25"/>
    <w:rsid w:val="007C39F0"/>
    <w:rsid w:val="007C3B8A"/>
    <w:rsid w:val="007C4568"/>
    <w:rsid w:val="007C4657"/>
    <w:rsid w:val="007C5910"/>
    <w:rsid w:val="007C5951"/>
    <w:rsid w:val="007C59F7"/>
    <w:rsid w:val="007C6C83"/>
    <w:rsid w:val="007C6DCF"/>
    <w:rsid w:val="007C6E65"/>
    <w:rsid w:val="007C73AC"/>
    <w:rsid w:val="007C7737"/>
    <w:rsid w:val="007C7BB9"/>
    <w:rsid w:val="007C7C33"/>
    <w:rsid w:val="007C7F1F"/>
    <w:rsid w:val="007D0044"/>
    <w:rsid w:val="007D06F4"/>
    <w:rsid w:val="007D18FE"/>
    <w:rsid w:val="007D2455"/>
    <w:rsid w:val="007D32B4"/>
    <w:rsid w:val="007D3AF7"/>
    <w:rsid w:val="007D3FEE"/>
    <w:rsid w:val="007D434E"/>
    <w:rsid w:val="007D45C8"/>
    <w:rsid w:val="007D4B49"/>
    <w:rsid w:val="007D4BA8"/>
    <w:rsid w:val="007D4C28"/>
    <w:rsid w:val="007D4DEE"/>
    <w:rsid w:val="007D569F"/>
    <w:rsid w:val="007D59BC"/>
    <w:rsid w:val="007D5B05"/>
    <w:rsid w:val="007D5B9B"/>
    <w:rsid w:val="007D653F"/>
    <w:rsid w:val="007D6A22"/>
    <w:rsid w:val="007D6F9A"/>
    <w:rsid w:val="007D716C"/>
    <w:rsid w:val="007D79D5"/>
    <w:rsid w:val="007E00E9"/>
    <w:rsid w:val="007E04BF"/>
    <w:rsid w:val="007E0DBB"/>
    <w:rsid w:val="007E0F97"/>
    <w:rsid w:val="007E100E"/>
    <w:rsid w:val="007E127A"/>
    <w:rsid w:val="007E1753"/>
    <w:rsid w:val="007E1904"/>
    <w:rsid w:val="007E1B84"/>
    <w:rsid w:val="007E1DD6"/>
    <w:rsid w:val="007E1F9F"/>
    <w:rsid w:val="007E2108"/>
    <w:rsid w:val="007E22C2"/>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F7B"/>
    <w:rsid w:val="007E66D8"/>
    <w:rsid w:val="007E75C0"/>
    <w:rsid w:val="007E786E"/>
    <w:rsid w:val="007F052C"/>
    <w:rsid w:val="007F07F3"/>
    <w:rsid w:val="007F0809"/>
    <w:rsid w:val="007F1203"/>
    <w:rsid w:val="007F1230"/>
    <w:rsid w:val="007F178D"/>
    <w:rsid w:val="007F1A1F"/>
    <w:rsid w:val="007F1D41"/>
    <w:rsid w:val="007F1F03"/>
    <w:rsid w:val="007F24B0"/>
    <w:rsid w:val="007F2625"/>
    <w:rsid w:val="007F2F76"/>
    <w:rsid w:val="007F35DF"/>
    <w:rsid w:val="007F3E5C"/>
    <w:rsid w:val="007F406A"/>
    <w:rsid w:val="007F45BC"/>
    <w:rsid w:val="007F5114"/>
    <w:rsid w:val="007F54B2"/>
    <w:rsid w:val="007F54DE"/>
    <w:rsid w:val="007F5506"/>
    <w:rsid w:val="007F5609"/>
    <w:rsid w:val="007F59DB"/>
    <w:rsid w:val="007F5FB1"/>
    <w:rsid w:val="007F6592"/>
    <w:rsid w:val="007F65F9"/>
    <w:rsid w:val="007F65FF"/>
    <w:rsid w:val="007F68B7"/>
    <w:rsid w:val="007F6C61"/>
    <w:rsid w:val="007F78D5"/>
    <w:rsid w:val="007F7902"/>
    <w:rsid w:val="007F7CD3"/>
    <w:rsid w:val="007F7F48"/>
    <w:rsid w:val="0080016B"/>
    <w:rsid w:val="00801265"/>
    <w:rsid w:val="00801843"/>
    <w:rsid w:val="00801A73"/>
    <w:rsid w:val="008024AE"/>
    <w:rsid w:val="00802E04"/>
    <w:rsid w:val="0080396D"/>
    <w:rsid w:val="00803CEE"/>
    <w:rsid w:val="00803F6D"/>
    <w:rsid w:val="00803F9C"/>
    <w:rsid w:val="00804350"/>
    <w:rsid w:val="0080444A"/>
    <w:rsid w:val="008045CF"/>
    <w:rsid w:val="008045ED"/>
    <w:rsid w:val="0080496E"/>
    <w:rsid w:val="00805103"/>
    <w:rsid w:val="008051F0"/>
    <w:rsid w:val="00805E97"/>
    <w:rsid w:val="00805FD3"/>
    <w:rsid w:val="00806119"/>
    <w:rsid w:val="00806131"/>
    <w:rsid w:val="008069A6"/>
    <w:rsid w:val="00806CC1"/>
    <w:rsid w:val="00807560"/>
    <w:rsid w:val="00810546"/>
    <w:rsid w:val="00810653"/>
    <w:rsid w:val="00810935"/>
    <w:rsid w:val="00810D7B"/>
    <w:rsid w:val="00810DC0"/>
    <w:rsid w:val="00810E3C"/>
    <w:rsid w:val="00811441"/>
    <w:rsid w:val="00811799"/>
    <w:rsid w:val="00812597"/>
    <w:rsid w:val="00812786"/>
    <w:rsid w:val="008128C4"/>
    <w:rsid w:val="00813038"/>
    <w:rsid w:val="0081357B"/>
    <w:rsid w:val="008138E4"/>
    <w:rsid w:val="00813BBB"/>
    <w:rsid w:val="00815198"/>
    <w:rsid w:val="00815CEC"/>
    <w:rsid w:val="00816696"/>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B89"/>
    <w:rsid w:val="00822134"/>
    <w:rsid w:val="0082235A"/>
    <w:rsid w:val="00822B95"/>
    <w:rsid w:val="00822EDB"/>
    <w:rsid w:val="008234DD"/>
    <w:rsid w:val="00823976"/>
    <w:rsid w:val="00823B36"/>
    <w:rsid w:val="00823C82"/>
    <w:rsid w:val="00823E43"/>
    <w:rsid w:val="00823F07"/>
    <w:rsid w:val="00824070"/>
    <w:rsid w:val="008241D8"/>
    <w:rsid w:val="008242AC"/>
    <w:rsid w:val="0082454A"/>
    <w:rsid w:val="00825347"/>
    <w:rsid w:val="008262D2"/>
    <w:rsid w:val="0082661D"/>
    <w:rsid w:val="00830151"/>
    <w:rsid w:val="0083023D"/>
    <w:rsid w:val="00830423"/>
    <w:rsid w:val="008306CF"/>
    <w:rsid w:val="0083082F"/>
    <w:rsid w:val="00830D15"/>
    <w:rsid w:val="008314D1"/>
    <w:rsid w:val="0083168F"/>
    <w:rsid w:val="00831870"/>
    <w:rsid w:val="00831EED"/>
    <w:rsid w:val="00832056"/>
    <w:rsid w:val="00832190"/>
    <w:rsid w:val="008326E7"/>
    <w:rsid w:val="008328E3"/>
    <w:rsid w:val="00832DEB"/>
    <w:rsid w:val="00833836"/>
    <w:rsid w:val="00834161"/>
    <w:rsid w:val="00834BCD"/>
    <w:rsid w:val="00834FB3"/>
    <w:rsid w:val="00835288"/>
    <w:rsid w:val="008354B6"/>
    <w:rsid w:val="00835CC8"/>
    <w:rsid w:val="00835DBD"/>
    <w:rsid w:val="0083601A"/>
    <w:rsid w:val="00836023"/>
    <w:rsid w:val="00836054"/>
    <w:rsid w:val="008360FD"/>
    <w:rsid w:val="00836272"/>
    <w:rsid w:val="008362B6"/>
    <w:rsid w:val="00836D0F"/>
    <w:rsid w:val="008374FC"/>
    <w:rsid w:val="00837BEB"/>
    <w:rsid w:val="00840198"/>
    <w:rsid w:val="00840441"/>
    <w:rsid w:val="008405E0"/>
    <w:rsid w:val="00840BC5"/>
    <w:rsid w:val="00840C3C"/>
    <w:rsid w:val="00840F7F"/>
    <w:rsid w:val="00841150"/>
    <w:rsid w:val="0084199D"/>
    <w:rsid w:val="00841D85"/>
    <w:rsid w:val="00842771"/>
    <w:rsid w:val="00842B7D"/>
    <w:rsid w:val="00842ECE"/>
    <w:rsid w:val="00843CBA"/>
    <w:rsid w:val="00843DE3"/>
    <w:rsid w:val="00843EAC"/>
    <w:rsid w:val="008442D2"/>
    <w:rsid w:val="008445F9"/>
    <w:rsid w:val="00844697"/>
    <w:rsid w:val="00844985"/>
    <w:rsid w:val="00844A9F"/>
    <w:rsid w:val="00844E9A"/>
    <w:rsid w:val="00845606"/>
    <w:rsid w:val="0084568A"/>
    <w:rsid w:val="00845BDB"/>
    <w:rsid w:val="008461BF"/>
    <w:rsid w:val="008461C8"/>
    <w:rsid w:val="008463B3"/>
    <w:rsid w:val="008469B1"/>
    <w:rsid w:val="00846A1C"/>
    <w:rsid w:val="00846D55"/>
    <w:rsid w:val="00846F2F"/>
    <w:rsid w:val="00847A74"/>
    <w:rsid w:val="00847E54"/>
    <w:rsid w:val="00850A7B"/>
    <w:rsid w:val="00850E23"/>
    <w:rsid w:val="00850FB1"/>
    <w:rsid w:val="00850FB2"/>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CCB"/>
    <w:rsid w:val="0085580B"/>
    <w:rsid w:val="00855C1C"/>
    <w:rsid w:val="00856043"/>
    <w:rsid w:val="008562F6"/>
    <w:rsid w:val="00856595"/>
    <w:rsid w:val="00856D8A"/>
    <w:rsid w:val="00856FC6"/>
    <w:rsid w:val="0085756E"/>
    <w:rsid w:val="008575D8"/>
    <w:rsid w:val="00860156"/>
    <w:rsid w:val="00860EF4"/>
    <w:rsid w:val="00860F01"/>
    <w:rsid w:val="00860F36"/>
    <w:rsid w:val="00861072"/>
    <w:rsid w:val="008612A8"/>
    <w:rsid w:val="008625C0"/>
    <w:rsid w:val="008629B1"/>
    <w:rsid w:val="00862B00"/>
    <w:rsid w:val="00862CB1"/>
    <w:rsid w:val="00863FA2"/>
    <w:rsid w:val="00864133"/>
    <w:rsid w:val="0086438A"/>
    <w:rsid w:val="00864559"/>
    <w:rsid w:val="00864BAC"/>
    <w:rsid w:val="00865223"/>
    <w:rsid w:val="00865250"/>
    <w:rsid w:val="00865264"/>
    <w:rsid w:val="0086592B"/>
    <w:rsid w:val="00865D8C"/>
    <w:rsid w:val="00866142"/>
    <w:rsid w:val="0086660F"/>
    <w:rsid w:val="00866972"/>
    <w:rsid w:val="00867040"/>
    <w:rsid w:val="00867071"/>
    <w:rsid w:val="00867198"/>
    <w:rsid w:val="008671A9"/>
    <w:rsid w:val="0086751D"/>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531"/>
    <w:rsid w:val="008767F5"/>
    <w:rsid w:val="00876987"/>
    <w:rsid w:val="008777AC"/>
    <w:rsid w:val="00877A4E"/>
    <w:rsid w:val="00877D3B"/>
    <w:rsid w:val="00877F55"/>
    <w:rsid w:val="00880721"/>
    <w:rsid w:val="00880CE6"/>
    <w:rsid w:val="008811AC"/>
    <w:rsid w:val="00881978"/>
    <w:rsid w:val="00881C12"/>
    <w:rsid w:val="00881DA0"/>
    <w:rsid w:val="008828B3"/>
    <w:rsid w:val="00882DCD"/>
    <w:rsid w:val="00883399"/>
    <w:rsid w:val="0088368D"/>
    <w:rsid w:val="00883A3D"/>
    <w:rsid w:val="00883A43"/>
    <w:rsid w:val="00884394"/>
    <w:rsid w:val="0088475C"/>
    <w:rsid w:val="00884DE1"/>
    <w:rsid w:val="00885C38"/>
    <w:rsid w:val="00886D08"/>
    <w:rsid w:val="00887157"/>
    <w:rsid w:val="00887FDF"/>
    <w:rsid w:val="0089099C"/>
    <w:rsid w:val="00891B29"/>
    <w:rsid w:val="00891E47"/>
    <w:rsid w:val="0089296D"/>
    <w:rsid w:val="008930F0"/>
    <w:rsid w:val="00893D2C"/>
    <w:rsid w:val="00893F6D"/>
    <w:rsid w:val="00894003"/>
    <w:rsid w:val="008947AD"/>
    <w:rsid w:val="00895BF3"/>
    <w:rsid w:val="008967D5"/>
    <w:rsid w:val="00896B3C"/>
    <w:rsid w:val="00896D37"/>
    <w:rsid w:val="008971B1"/>
    <w:rsid w:val="00897432"/>
    <w:rsid w:val="00897E53"/>
    <w:rsid w:val="008A0382"/>
    <w:rsid w:val="008A0A31"/>
    <w:rsid w:val="008A0DA6"/>
    <w:rsid w:val="008A10A4"/>
    <w:rsid w:val="008A1600"/>
    <w:rsid w:val="008A1EBC"/>
    <w:rsid w:val="008A1FA2"/>
    <w:rsid w:val="008A2E6F"/>
    <w:rsid w:val="008A3859"/>
    <w:rsid w:val="008A40CE"/>
    <w:rsid w:val="008A443A"/>
    <w:rsid w:val="008A4C9D"/>
    <w:rsid w:val="008A4EDD"/>
    <w:rsid w:val="008A4FD2"/>
    <w:rsid w:val="008A50AB"/>
    <w:rsid w:val="008A5701"/>
    <w:rsid w:val="008A5DC0"/>
    <w:rsid w:val="008A680B"/>
    <w:rsid w:val="008A68CE"/>
    <w:rsid w:val="008A6F20"/>
    <w:rsid w:val="008A7090"/>
    <w:rsid w:val="008B0190"/>
    <w:rsid w:val="008B041F"/>
    <w:rsid w:val="008B0629"/>
    <w:rsid w:val="008B07BC"/>
    <w:rsid w:val="008B1242"/>
    <w:rsid w:val="008B165E"/>
    <w:rsid w:val="008B1673"/>
    <w:rsid w:val="008B16CD"/>
    <w:rsid w:val="008B173A"/>
    <w:rsid w:val="008B19FD"/>
    <w:rsid w:val="008B21AD"/>
    <w:rsid w:val="008B2795"/>
    <w:rsid w:val="008B2B3C"/>
    <w:rsid w:val="008B320A"/>
    <w:rsid w:val="008B327D"/>
    <w:rsid w:val="008B3C26"/>
    <w:rsid w:val="008B44A8"/>
    <w:rsid w:val="008B4705"/>
    <w:rsid w:val="008B4957"/>
    <w:rsid w:val="008B5D4B"/>
    <w:rsid w:val="008B6A86"/>
    <w:rsid w:val="008B70EF"/>
    <w:rsid w:val="008B7125"/>
    <w:rsid w:val="008B7754"/>
    <w:rsid w:val="008C01D1"/>
    <w:rsid w:val="008C022C"/>
    <w:rsid w:val="008C0A2D"/>
    <w:rsid w:val="008C0F0C"/>
    <w:rsid w:val="008C1E94"/>
    <w:rsid w:val="008C248C"/>
    <w:rsid w:val="008C298A"/>
    <w:rsid w:val="008C2C08"/>
    <w:rsid w:val="008C2F0D"/>
    <w:rsid w:val="008C30EB"/>
    <w:rsid w:val="008C326F"/>
    <w:rsid w:val="008C34B2"/>
    <w:rsid w:val="008C3788"/>
    <w:rsid w:val="008C3C39"/>
    <w:rsid w:val="008C46BF"/>
    <w:rsid w:val="008C48B0"/>
    <w:rsid w:val="008C50E6"/>
    <w:rsid w:val="008C541E"/>
    <w:rsid w:val="008C57A8"/>
    <w:rsid w:val="008C635B"/>
    <w:rsid w:val="008C6976"/>
    <w:rsid w:val="008C6B7D"/>
    <w:rsid w:val="008C7074"/>
    <w:rsid w:val="008C73F7"/>
    <w:rsid w:val="008C750D"/>
    <w:rsid w:val="008C7604"/>
    <w:rsid w:val="008D006B"/>
    <w:rsid w:val="008D02CD"/>
    <w:rsid w:val="008D0DFE"/>
    <w:rsid w:val="008D1038"/>
    <w:rsid w:val="008D1112"/>
    <w:rsid w:val="008D14BB"/>
    <w:rsid w:val="008D176B"/>
    <w:rsid w:val="008D196A"/>
    <w:rsid w:val="008D1A01"/>
    <w:rsid w:val="008D1F29"/>
    <w:rsid w:val="008D25B4"/>
    <w:rsid w:val="008D26EA"/>
    <w:rsid w:val="008D2835"/>
    <w:rsid w:val="008D2E90"/>
    <w:rsid w:val="008D3836"/>
    <w:rsid w:val="008D3DDA"/>
    <w:rsid w:val="008D3E70"/>
    <w:rsid w:val="008D3FF4"/>
    <w:rsid w:val="008D4678"/>
    <w:rsid w:val="008D4831"/>
    <w:rsid w:val="008D48C6"/>
    <w:rsid w:val="008D5104"/>
    <w:rsid w:val="008D53C2"/>
    <w:rsid w:val="008D53D8"/>
    <w:rsid w:val="008D5C9C"/>
    <w:rsid w:val="008D60BA"/>
    <w:rsid w:val="008D653F"/>
    <w:rsid w:val="008D67E9"/>
    <w:rsid w:val="008D73C3"/>
    <w:rsid w:val="008D73D2"/>
    <w:rsid w:val="008D78AA"/>
    <w:rsid w:val="008D7996"/>
    <w:rsid w:val="008D7F3A"/>
    <w:rsid w:val="008E09C3"/>
    <w:rsid w:val="008E0ACA"/>
    <w:rsid w:val="008E0C42"/>
    <w:rsid w:val="008E1192"/>
    <w:rsid w:val="008E13BD"/>
    <w:rsid w:val="008E182C"/>
    <w:rsid w:val="008E1C6A"/>
    <w:rsid w:val="008E20FF"/>
    <w:rsid w:val="008E272A"/>
    <w:rsid w:val="008E3521"/>
    <w:rsid w:val="008E3A2F"/>
    <w:rsid w:val="008E3AED"/>
    <w:rsid w:val="008E3C48"/>
    <w:rsid w:val="008E3CF5"/>
    <w:rsid w:val="008E3DEE"/>
    <w:rsid w:val="008E40C6"/>
    <w:rsid w:val="008E4C75"/>
    <w:rsid w:val="008E513C"/>
    <w:rsid w:val="008E56F4"/>
    <w:rsid w:val="008E5811"/>
    <w:rsid w:val="008E69B4"/>
    <w:rsid w:val="008E69DA"/>
    <w:rsid w:val="008E7038"/>
    <w:rsid w:val="008E72DC"/>
    <w:rsid w:val="008E75BF"/>
    <w:rsid w:val="008F0837"/>
    <w:rsid w:val="008F0D04"/>
    <w:rsid w:val="008F0DD5"/>
    <w:rsid w:val="008F1113"/>
    <w:rsid w:val="008F1134"/>
    <w:rsid w:val="008F1581"/>
    <w:rsid w:val="008F15D8"/>
    <w:rsid w:val="008F160D"/>
    <w:rsid w:val="008F1B20"/>
    <w:rsid w:val="008F1CA8"/>
    <w:rsid w:val="008F1D9B"/>
    <w:rsid w:val="008F1EA8"/>
    <w:rsid w:val="008F1EB5"/>
    <w:rsid w:val="008F209F"/>
    <w:rsid w:val="008F21BA"/>
    <w:rsid w:val="008F2302"/>
    <w:rsid w:val="008F29DC"/>
    <w:rsid w:val="008F2B13"/>
    <w:rsid w:val="008F2C55"/>
    <w:rsid w:val="008F2CAF"/>
    <w:rsid w:val="008F3684"/>
    <w:rsid w:val="008F3E98"/>
    <w:rsid w:val="008F4D07"/>
    <w:rsid w:val="008F4F70"/>
    <w:rsid w:val="008F51BB"/>
    <w:rsid w:val="008F57F6"/>
    <w:rsid w:val="008F5D76"/>
    <w:rsid w:val="008F5E15"/>
    <w:rsid w:val="008F62EF"/>
    <w:rsid w:val="008F6736"/>
    <w:rsid w:val="008F6AA6"/>
    <w:rsid w:val="008F6D8B"/>
    <w:rsid w:val="008F6F6F"/>
    <w:rsid w:val="008F7938"/>
    <w:rsid w:val="008F7B9C"/>
    <w:rsid w:val="009006AA"/>
    <w:rsid w:val="00900FBF"/>
    <w:rsid w:val="009012FB"/>
    <w:rsid w:val="009020AD"/>
    <w:rsid w:val="009020C8"/>
    <w:rsid w:val="0090215C"/>
    <w:rsid w:val="00903093"/>
    <w:rsid w:val="0090310A"/>
    <w:rsid w:val="009039C4"/>
    <w:rsid w:val="00903E34"/>
    <w:rsid w:val="0090512C"/>
    <w:rsid w:val="009051FB"/>
    <w:rsid w:val="0090557C"/>
    <w:rsid w:val="0090562D"/>
    <w:rsid w:val="00905B1C"/>
    <w:rsid w:val="00905E17"/>
    <w:rsid w:val="0090633F"/>
    <w:rsid w:val="0090641A"/>
    <w:rsid w:val="0090737E"/>
    <w:rsid w:val="00907E49"/>
    <w:rsid w:val="009108E1"/>
    <w:rsid w:val="00910E84"/>
    <w:rsid w:val="00911411"/>
    <w:rsid w:val="00911B8C"/>
    <w:rsid w:val="00911DA0"/>
    <w:rsid w:val="0091226D"/>
    <w:rsid w:val="0091286D"/>
    <w:rsid w:val="00913197"/>
    <w:rsid w:val="00913408"/>
    <w:rsid w:val="0091353B"/>
    <w:rsid w:val="0091366D"/>
    <w:rsid w:val="00913C26"/>
    <w:rsid w:val="00914035"/>
    <w:rsid w:val="00914399"/>
    <w:rsid w:val="009144A5"/>
    <w:rsid w:val="009145A3"/>
    <w:rsid w:val="00914882"/>
    <w:rsid w:val="009149DD"/>
    <w:rsid w:val="00914A25"/>
    <w:rsid w:val="00914E08"/>
    <w:rsid w:val="0091562C"/>
    <w:rsid w:val="00915C6E"/>
    <w:rsid w:val="00915CB5"/>
    <w:rsid w:val="00915EB0"/>
    <w:rsid w:val="00915F80"/>
    <w:rsid w:val="009160C9"/>
    <w:rsid w:val="0091667E"/>
    <w:rsid w:val="009167E2"/>
    <w:rsid w:val="0091680A"/>
    <w:rsid w:val="00916D65"/>
    <w:rsid w:val="00916F6B"/>
    <w:rsid w:val="00917990"/>
    <w:rsid w:val="00917A63"/>
    <w:rsid w:val="00917BC5"/>
    <w:rsid w:val="00920649"/>
    <w:rsid w:val="0092095F"/>
    <w:rsid w:val="00921262"/>
    <w:rsid w:val="00921588"/>
    <w:rsid w:val="009223FB"/>
    <w:rsid w:val="00922902"/>
    <w:rsid w:val="00922FE6"/>
    <w:rsid w:val="009231A5"/>
    <w:rsid w:val="0092343F"/>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DB4"/>
    <w:rsid w:val="00930E6C"/>
    <w:rsid w:val="0093163C"/>
    <w:rsid w:val="00931682"/>
    <w:rsid w:val="0093211F"/>
    <w:rsid w:val="00932186"/>
    <w:rsid w:val="00932464"/>
    <w:rsid w:val="009325A8"/>
    <w:rsid w:val="0093296D"/>
    <w:rsid w:val="00932987"/>
    <w:rsid w:val="009333DC"/>
    <w:rsid w:val="009337DB"/>
    <w:rsid w:val="00933BBE"/>
    <w:rsid w:val="00934030"/>
    <w:rsid w:val="009343A4"/>
    <w:rsid w:val="009344DC"/>
    <w:rsid w:val="00934F91"/>
    <w:rsid w:val="00935767"/>
    <w:rsid w:val="00935852"/>
    <w:rsid w:val="0093657A"/>
    <w:rsid w:val="0093667C"/>
    <w:rsid w:val="009366D4"/>
    <w:rsid w:val="009367C4"/>
    <w:rsid w:val="00936CD8"/>
    <w:rsid w:val="00937069"/>
    <w:rsid w:val="00937178"/>
    <w:rsid w:val="00937331"/>
    <w:rsid w:val="00937702"/>
    <w:rsid w:val="00937A89"/>
    <w:rsid w:val="00937E06"/>
    <w:rsid w:val="00937F0C"/>
    <w:rsid w:val="00940328"/>
    <w:rsid w:val="009403AD"/>
    <w:rsid w:val="00940745"/>
    <w:rsid w:val="00940EA8"/>
    <w:rsid w:val="00940FE5"/>
    <w:rsid w:val="00941E99"/>
    <w:rsid w:val="009420B2"/>
    <w:rsid w:val="009426F7"/>
    <w:rsid w:val="009427EB"/>
    <w:rsid w:val="00942C9B"/>
    <w:rsid w:val="0094308D"/>
    <w:rsid w:val="009440AF"/>
    <w:rsid w:val="00944627"/>
    <w:rsid w:val="00944890"/>
    <w:rsid w:val="009448F8"/>
    <w:rsid w:val="00944B8F"/>
    <w:rsid w:val="0094633A"/>
    <w:rsid w:val="009463C3"/>
    <w:rsid w:val="00946883"/>
    <w:rsid w:val="009474E7"/>
    <w:rsid w:val="00947D06"/>
    <w:rsid w:val="009501B4"/>
    <w:rsid w:val="009507B3"/>
    <w:rsid w:val="0095090A"/>
    <w:rsid w:val="00950CAC"/>
    <w:rsid w:val="00950EDA"/>
    <w:rsid w:val="00951176"/>
    <w:rsid w:val="00951C14"/>
    <w:rsid w:val="00951D98"/>
    <w:rsid w:val="00951E83"/>
    <w:rsid w:val="0095270C"/>
    <w:rsid w:val="00952D62"/>
    <w:rsid w:val="00953AB5"/>
    <w:rsid w:val="00953E5F"/>
    <w:rsid w:val="009544DF"/>
    <w:rsid w:val="00954BBF"/>
    <w:rsid w:val="00954CE2"/>
    <w:rsid w:val="009556AA"/>
    <w:rsid w:val="009557AE"/>
    <w:rsid w:val="009557EA"/>
    <w:rsid w:val="00955A05"/>
    <w:rsid w:val="00955C91"/>
    <w:rsid w:val="00955DC8"/>
    <w:rsid w:val="00955F7B"/>
    <w:rsid w:val="009567AC"/>
    <w:rsid w:val="00956CC1"/>
    <w:rsid w:val="00956E59"/>
    <w:rsid w:val="00957AC8"/>
    <w:rsid w:val="0096006A"/>
    <w:rsid w:val="00960678"/>
    <w:rsid w:val="009606FD"/>
    <w:rsid w:val="00960E05"/>
    <w:rsid w:val="00961073"/>
    <w:rsid w:val="0096184C"/>
    <w:rsid w:val="009619E6"/>
    <w:rsid w:val="00961C92"/>
    <w:rsid w:val="00961D25"/>
    <w:rsid w:val="00962004"/>
    <w:rsid w:val="00962749"/>
    <w:rsid w:val="0096283A"/>
    <w:rsid w:val="00962D3D"/>
    <w:rsid w:val="00962F63"/>
    <w:rsid w:val="00962FD6"/>
    <w:rsid w:val="0096349B"/>
    <w:rsid w:val="009635FF"/>
    <w:rsid w:val="00963633"/>
    <w:rsid w:val="00963799"/>
    <w:rsid w:val="00963E5A"/>
    <w:rsid w:val="0096457C"/>
    <w:rsid w:val="009645CF"/>
    <w:rsid w:val="00964A12"/>
    <w:rsid w:val="009660E5"/>
    <w:rsid w:val="0096612D"/>
    <w:rsid w:val="009661FC"/>
    <w:rsid w:val="0096631B"/>
    <w:rsid w:val="0096656B"/>
    <w:rsid w:val="00966977"/>
    <w:rsid w:val="00966F1B"/>
    <w:rsid w:val="009672EC"/>
    <w:rsid w:val="00967BB9"/>
    <w:rsid w:val="00967E84"/>
    <w:rsid w:val="00970EB8"/>
    <w:rsid w:val="00970FB3"/>
    <w:rsid w:val="00971228"/>
    <w:rsid w:val="00971857"/>
    <w:rsid w:val="00971A4D"/>
    <w:rsid w:val="00971C40"/>
    <w:rsid w:val="0097264F"/>
    <w:rsid w:val="009727C2"/>
    <w:rsid w:val="00972B22"/>
    <w:rsid w:val="00973445"/>
    <w:rsid w:val="00973733"/>
    <w:rsid w:val="0097384D"/>
    <w:rsid w:val="009749AD"/>
    <w:rsid w:val="009750CE"/>
    <w:rsid w:val="00975816"/>
    <w:rsid w:val="00975E09"/>
    <w:rsid w:val="009760AA"/>
    <w:rsid w:val="0097639B"/>
    <w:rsid w:val="00976910"/>
    <w:rsid w:val="00976DCD"/>
    <w:rsid w:val="00976EDA"/>
    <w:rsid w:val="009772CA"/>
    <w:rsid w:val="009772D1"/>
    <w:rsid w:val="0097747C"/>
    <w:rsid w:val="0098004C"/>
    <w:rsid w:val="0098069D"/>
    <w:rsid w:val="00980A59"/>
    <w:rsid w:val="00980BA8"/>
    <w:rsid w:val="009810FB"/>
    <w:rsid w:val="00981316"/>
    <w:rsid w:val="009814F8"/>
    <w:rsid w:val="009819FE"/>
    <w:rsid w:val="00981E8E"/>
    <w:rsid w:val="00982109"/>
    <w:rsid w:val="00982E94"/>
    <w:rsid w:val="0098306A"/>
    <w:rsid w:val="00983265"/>
    <w:rsid w:val="00983505"/>
    <w:rsid w:val="0098489A"/>
    <w:rsid w:val="0098490F"/>
    <w:rsid w:val="0098552E"/>
    <w:rsid w:val="00985622"/>
    <w:rsid w:val="00986786"/>
    <w:rsid w:val="00986D0F"/>
    <w:rsid w:val="00986E82"/>
    <w:rsid w:val="00986FE2"/>
    <w:rsid w:val="009875A2"/>
    <w:rsid w:val="00987A25"/>
    <w:rsid w:val="00987A4B"/>
    <w:rsid w:val="00987AE4"/>
    <w:rsid w:val="00987CE4"/>
    <w:rsid w:val="00987D06"/>
    <w:rsid w:val="00987F6E"/>
    <w:rsid w:val="00990210"/>
    <w:rsid w:val="00990212"/>
    <w:rsid w:val="00990A2E"/>
    <w:rsid w:val="00990D38"/>
    <w:rsid w:val="00991234"/>
    <w:rsid w:val="00991448"/>
    <w:rsid w:val="00991AB2"/>
    <w:rsid w:val="00991CB3"/>
    <w:rsid w:val="0099209A"/>
    <w:rsid w:val="00992478"/>
    <w:rsid w:val="009926DE"/>
    <w:rsid w:val="00992FD7"/>
    <w:rsid w:val="0099311B"/>
    <w:rsid w:val="009931B5"/>
    <w:rsid w:val="0099382C"/>
    <w:rsid w:val="00994293"/>
    <w:rsid w:val="009947C7"/>
    <w:rsid w:val="00994F58"/>
    <w:rsid w:val="009953A7"/>
    <w:rsid w:val="009955F2"/>
    <w:rsid w:val="00995B87"/>
    <w:rsid w:val="00995CE8"/>
    <w:rsid w:val="00995EA7"/>
    <w:rsid w:val="00995F2D"/>
    <w:rsid w:val="00996230"/>
    <w:rsid w:val="00996BA8"/>
    <w:rsid w:val="00996FC9"/>
    <w:rsid w:val="009970F9"/>
    <w:rsid w:val="00997295"/>
    <w:rsid w:val="009973BB"/>
    <w:rsid w:val="009975EC"/>
    <w:rsid w:val="00997A43"/>
    <w:rsid w:val="00997C45"/>
    <w:rsid w:val="009A03A7"/>
    <w:rsid w:val="009A044E"/>
    <w:rsid w:val="009A067C"/>
    <w:rsid w:val="009A1227"/>
    <w:rsid w:val="009A1307"/>
    <w:rsid w:val="009A158A"/>
    <w:rsid w:val="009A1E9B"/>
    <w:rsid w:val="009A2220"/>
    <w:rsid w:val="009A2248"/>
    <w:rsid w:val="009A269C"/>
    <w:rsid w:val="009A2AD3"/>
    <w:rsid w:val="009A2D3C"/>
    <w:rsid w:val="009A38EA"/>
    <w:rsid w:val="009A3CFA"/>
    <w:rsid w:val="009A3E8B"/>
    <w:rsid w:val="009A3FA1"/>
    <w:rsid w:val="009A4373"/>
    <w:rsid w:val="009A4971"/>
    <w:rsid w:val="009A4A96"/>
    <w:rsid w:val="009A4AC9"/>
    <w:rsid w:val="009A4D08"/>
    <w:rsid w:val="009A50B6"/>
    <w:rsid w:val="009A52F8"/>
    <w:rsid w:val="009A55D4"/>
    <w:rsid w:val="009A57DC"/>
    <w:rsid w:val="009A5BBF"/>
    <w:rsid w:val="009A5BCC"/>
    <w:rsid w:val="009A5D58"/>
    <w:rsid w:val="009A5E4F"/>
    <w:rsid w:val="009A6453"/>
    <w:rsid w:val="009A7231"/>
    <w:rsid w:val="009A7350"/>
    <w:rsid w:val="009A76FE"/>
    <w:rsid w:val="009A7BBC"/>
    <w:rsid w:val="009A7CDC"/>
    <w:rsid w:val="009B0036"/>
    <w:rsid w:val="009B02F4"/>
    <w:rsid w:val="009B0519"/>
    <w:rsid w:val="009B051D"/>
    <w:rsid w:val="009B0738"/>
    <w:rsid w:val="009B08E4"/>
    <w:rsid w:val="009B0977"/>
    <w:rsid w:val="009B09EA"/>
    <w:rsid w:val="009B15F6"/>
    <w:rsid w:val="009B1713"/>
    <w:rsid w:val="009B1721"/>
    <w:rsid w:val="009B18F4"/>
    <w:rsid w:val="009B1E96"/>
    <w:rsid w:val="009B23DC"/>
    <w:rsid w:val="009B25F5"/>
    <w:rsid w:val="009B27F7"/>
    <w:rsid w:val="009B2E77"/>
    <w:rsid w:val="009B2FC4"/>
    <w:rsid w:val="009B3383"/>
    <w:rsid w:val="009B367E"/>
    <w:rsid w:val="009B3856"/>
    <w:rsid w:val="009B3F96"/>
    <w:rsid w:val="009B45A3"/>
    <w:rsid w:val="009B462D"/>
    <w:rsid w:val="009B46C0"/>
    <w:rsid w:val="009B479F"/>
    <w:rsid w:val="009B4DFD"/>
    <w:rsid w:val="009B50FB"/>
    <w:rsid w:val="009B536C"/>
    <w:rsid w:val="009B62F2"/>
    <w:rsid w:val="009B6D9A"/>
    <w:rsid w:val="009B753E"/>
    <w:rsid w:val="009B78BC"/>
    <w:rsid w:val="009C0765"/>
    <w:rsid w:val="009C0F63"/>
    <w:rsid w:val="009C114E"/>
    <w:rsid w:val="009C12E9"/>
    <w:rsid w:val="009C1784"/>
    <w:rsid w:val="009C2054"/>
    <w:rsid w:val="009C24EB"/>
    <w:rsid w:val="009C2594"/>
    <w:rsid w:val="009C2A6B"/>
    <w:rsid w:val="009C2C3F"/>
    <w:rsid w:val="009C2DE0"/>
    <w:rsid w:val="009C2E5A"/>
    <w:rsid w:val="009C30A3"/>
    <w:rsid w:val="009C318D"/>
    <w:rsid w:val="009C341D"/>
    <w:rsid w:val="009C3B6A"/>
    <w:rsid w:val="009C3FD0"/>
    <w:rsid w:val="009C547C"/>
    <w:rsid w:val="009C5806"/>
    <w:rsid w:val="009C5F2F"/>
    <w:rsid w:val="009C6341"/>
    <w:rsid w:val="009C653D"/>
    <w:rsid w:val="009C68D1"/>
    <w:rsid w:val="009C6A9E"/>
    <w:rsid w:val="009C6C06"/>
    <w:rsid w:val="009C6FC6"/>
    <w:rsid w:val="009C721E"/>
    <w:rsid w:val="009C7B7E"/>
    <w:rsid w:val="009C7E43"/>
    <w:rsid w:val="009D0188"/>
    <w:rsid w:val="009D06E2"/>
    <w:rsid w:val="009D0ADA"/>
    <w:rsid w:val="009D0CF2"/>
    <w:rsid w:val="009D1292"/>
    <w:rsid w:val="009D192F"/>
    <w:rsid w:val="009D1F8D"/>
    <w:rsid w:val="009D1FAB"/>
    <w:rsid w:val="009D2787"/>
    <w:rsid w:val="009D2C24"/>
    <w:rsid w:val="009D3E39"/>
    <w:rsid w:val="009D4399"/>
    <w:rsid w:val="009D444A"/>
    <w:rsid w:val="009D464E"/>
    <w:rsid w:val="009D4E74"/>
    <w:rsid w:val="009D4F20"/>
    <w:rsid w:val="009D4F9E"/>
    <w:rsid w:val="009D56E3"/>
    <w:rsid w:val="009D5B81"/>
    <w:rsid w:val="009D5E05"/>
    <w:rsid w:val="009D62F2"/>
    <w:rsid w:val="009D6BBC"/>
    <w:rsid w:val="009D7B2B"/>
    <w:rsid w:val="009E0201"/>
    <w:rsid w:val="009E05D6"/>
    <w:rsid w:val="009E0DD4"/>
    <w:rsid w:val="009E12C8"/>
    <w:rsid w:val="009E13D7"/>
    <w:rsid w:val="009E1E3D"/>
    <w:rsid w:val="009E202C"/>
    <w:rsid w:val="009E28B9"/>
    <w:rsid w:val="009E2E3B"/>
    <w:rsid w:val="009E394C"/>
    <w:rsid w:val="009E3980"/>
    <w:rsid w:val="009E3B55"/>
    <w:rsid w:val="009E43F8"/>
    <w:rsid w:val="009E4599"/>
    <w:rsid w:val="009E469A"/>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3534"/>
    <w:rsid w:val="009F38CE"/>
    <w:rsid w:val="009F3C50"/>
    <w:rsid w:val="009F3FDB"/>
    <w:rsid w:val="009F421A"/>
    <w:rsid w:val="009F425D"/>
    <w:rsid w:val="009F42B3"/>
    <w:rsid w:val="009F48AA"/>
    <w:rsid w:val="009F4E34"/>
    <w:rsid w:val="009F532D"/>
    <w:rsid w:val="009F583B"/>
    <w:rsid w:val="009F5ABB"/>
    <w:rsid w:val="009F6253"/>
    <w:rsid w:val="009F6ACC"/>
    <w:rsid w:val="009F6B67"/>
    <w:rsid w:val="009F7087"/>
    <w:rsid w:val="009F76C4"/>
    <w:rsid w:val="009F7DA5"/>
    <w:rsid w:val="009F7F00"/>
    <w:rsid w:val="00A00672"/>
    <w:rsid w:val="00A00F9E"/>
    <w:rsid w:val="00A012DB"/>
    <w:rsid w:val="00A01594"/>
    <w:rsid w:val="00A01A2C"/>
    <w:rsid w:val="00A01B11"/>
    <w:rsid w:val="00A0283A"/>
    <w:rsid w:val="00A02887"/>
    <w:rsid w:val="00A02FCC"/>
    <w:rsid w:val="00A03634"/>
    <w:rsid w:val="00A03F4D"/>
    <w:rsid w:val="00A04318"/>
    <w:rsid w:val="00A0457F"/>
    <w:rsid w:val="00A04602"/>
    <w:rsid w:val="00A04927"/>
    <w:rsid w:val="00A04953"/>
    <w:rsid w:val="00A0497C"/>
    <w:rsid w:val="00A04BBC"/>
    <w:rsid w:val="00A04BE9"/>
    <w:rsid w:val="00A04F4B"/>
    <w:rsid w:val="00A04FFB"/>
    <w:rsid w:val="00A0585A"/>
    <w:rsid w:val="00A05CBF"/>
    <w:rsid w:val="00A05CC4"/>
    <w:rsid w:val="00A05E5A"/>
    <w:rsid w:val="00A0695D"/>
    <w:rsid w:val="00A06E12"/>
    <w:rsid w:val="00A10AC7"/>
    <w:rsid w:val="00A10AEE"/>
    <w:rsid w:val="00A10D9D"/>
    <w:rsid w:val="00A10DA5"/>
    <w:rsid w:val="00A11319"/>
    <w:rsid w:val="00A11A60"/>
    <w:rsid w:val="00A11ED6"/>
    <w:rsid w:val="00A1248A"/>
    <w:rsid w:val="00A12A2D"/>
    <w:rsid w:val="00A12E81"/>
    <w:rsid w:val="00A13915"/>
    <w:rsid w:val="00A13C4E"/>
    <w:rsid w:val="00A13F87"/>
    <w:rsid w:val="00A14560"/>
    <w:rsid w:val="00A14628"/>
    <w:rsid w:val="00A14D7C"/>
    <w:rsid w:val="00A14E53"/>
    <w:rsid w:val="00A15418"/>
    <w:rsid w:val="00A162D9"/>
    <w:rsid w:val="00A16B7B"/>
    <w:rsid w:val="00A178E7"/>
    <w:rsid w:val="00A178FD"/>
    <w:rsid w:val="00A17F7B"/>
    <w:rsid w:val="00A20195"/>
    <w:rsid w:val="00A2025F"/>
    <w:rsid w:val="00A20303"/>
    <w:rsid w:val="00A2032E"/>
    <w:rsid w:val="00A20536"/>
    <w:rsid w:val="00A20642"/>
    <w:rsid w:val="00A20829"/>
    <w:rsid w:val="00A20C72"/>
    <w:rsid w:val="00A225C6"/>
    <w:rsid w:val="00A23B92"/>
    <w:rsid w:val="00A23F13"/>
    <w:rsid w:val="00A240BF"/>
    <w:rsid w:val="00A242E1"/>
    <w:rsid w:val="00A245B4"/>
    <w:rsid w:val="00A24643"/>
    <w:rsid w:val="00A249A0"/>
    <w:rsid w:val="00A249F7"/>
    <w:rsid w:val="00A24B24"/>
    <w:rsid w:val="00A24B51"/>
    <w:rsid w:val="00A24C80"/>
    <w:rsid w:val="00A24E4F"/>
    <w:rsid w:val="00A24E53"/>
    <w:rsid w:val="00A252C3"/>
    <w:rsid w:val="00A2545E"/>
    <w:rsid w:val="00A26FE8"/>
    <w:rsid w:val="00A2728D"/>
    <w:rsid w:val="00A3027C"/>
    <w:rsid w:val="00A30A76"/>
    <w:rsid w:val="00A30E02"/>
    <w:rsid w:val="00A30EB9"/>
    <w:rsid w:val="00A31367"/>
    <w:rsid w:val="00A31CBF"/>
    <w:rsid w:val="00A32C5F"/>
    <w:rsid w:val="00A32CAE"/>
    <w:rsid w:val="00A3371D"/>
    <w:rsid w:val="00A33C2B"/>
    <w:rsid w:val="00A341C0"/>
    <w:rsid w:val="00A348D3"/>
    <w:rsid w:val="00A3523E"/>
    <w:rsid w:val="00A352BC"/>
    <w:rsid w:val="00A35C4E"/>
    <w:rsid w:val="00A3673A"/>
    <w:rsid w:val="00A36884"/>
    <w:rsid w:val="00A3707D"/>
    <w:rsid w:val="00A37822"/>
    <w:rsid w:val="00A37C8C"/>
    <w:rsid w:val="00A37DB5"/>
    <w:rsid w:val="00A37E59"/>
    <w:rsid w:val="00A37FEC"/>
    <w:rsid w:val="00A40757"/>
    <w:rsid w:val="00A4079A"/>
    <w:rsid w:val="00A40A62"/>
    <w:rsid w:val="00A40BF6"/>
    <w:rsid w:val="00A40C5B"/>
    <w:rsid w:val="00A40D9E"/>
    <w:rsid w:val="00A40DF3"/>
    <w:rsid w:val="00A40E17"/>
    <w:rsid w:val="00A40FEF"/>
    <w:rsid w:val="00A412B4"/>
    <w:rsid w:val="00A415A9"/>
    <w:rsid w:val="00A41767"/>
    <w:rsid w:val="00A417AF"/>
    <w:rsid w:val="00A42538"/>
    <w:rsid w:val="00A42AAE"/>
    <w:rsid w:val="00A42BE2"/>
    <w:rsid w:val="00A43680"/>
    <w:rsid w:val="00A43CB2"/>
    <w:rsid w:val="00A44286"/>
    <w:rsid w:val="00A4460E"/>
    <w:rsid w:val="00A446ED"/>
    <w:rsid w:val="00A44794"/>
    <w:rsid w:val="00A448EF"/>
    <w:rsid w:val="00A44E0A"/>
    <w:rsid w:val="00A44F16"/>
    <w:rsid w:val="00A4514A"/>
    <w:rsid w:val="00A4544B"/>
    <w:rsid w:val="00A45793"/>
    <w:rsid w:val="00A45AAA"/>
    <w:rsid w:val="00A4612A"/>
    <w:rsid w:val="00A461A9"/>
    <w:rsid w:val="00A463B8"/>
    <w:rsid w:val="00A46541"/>
    <w:rsid w:val="00A473A0"/>
    <w:rsid w:val="00A47613"/>
    <w:rsid w:val="00A50017"/>
    <w:rsid w:val="00A5097F"/>
    <w:rsid w:val="00A50A2F"/>
    <w:rsid w:val="00A517D9"/>
    <w:rsid w:val="00A51A19"/>
    <w:rsid w:val="00A51A64"/>
    <w:rsid w:val="00A51A85"/>
    <w:rsid w:val="00A53E27"/>
    <w:rsid w:val="00A54707"/>
    <w:rsid w:val="00A5527F"/>
    <w:rsid w:val="00A555A6"/>
    <w:rsid w:val="00A555DC"/>
    <w:rsid w:val="00A556DE"/>
    <w:rsid w:val="00A55B03"/>
    <w:rsid w:val="00A55DC7"/>
    <w:rsid w:val="00A56028"/>
    <w:rsid w:val="00A56DCA"/>
    <w:rsid w:val="00A56EB0"/>
    <w:rsid w:val="00A57135"/>
    <w:rsid w:val="00A57514"/>
    <w:rsid w:val="00A575F5"/>
    <w:rsid w:val="00A57824"/>
    <w:rsid w:val="00A606AE"/>
    <w:rsid w:val="00A608D2"/>
    <w:rsid w:val="00A60A7C"/>
    <w:rsid w:val="00A60AD2"/>
    <w:rsid w:val="00A60DB5"/>
    <w:rsid w:val="00A60DE3"/>
    <w:rsid w:val="00A60EDD"/>
    <w:rsid w:val="00A62B69"/>
    <w:rsid w:val="00A62F1B"/>
    <w:rsid w:val="00A63118"/>
    <w:rsid w:val="00A63947"/>
    <w:rsid w:val="00A63F11"/>
    <w:rsid w:val="00A64063"/>
    <w:rsid w:val="00A64B40"/>
    <w:rsid w:val="00A64DD4"/>
    <w:rsid w:val="00A6526E"/>
    <w:rsid w:val="00A6574A"/>
    <w:rsid w:val="00A66962"/>
    <w:rsid w:val="00A66988"/>
    <w:rsid w:val="00A66C6F"/>
    <w:rsid w:val="00A66F0B"/>
    <w:rsid w:val="00A67BA0"/>
    <w:rsid w:val="00A70049"/>
    <w:rsid w:val="00A700D2"/>
    <w:rsid w:val="00A71831"/>
    <w:rsid w:val="00A72295"/>
    <w:rsid w:val="00A72310"/>
    <w:rsid w:val="00A72611"/>
    <w:rsid w:val="00A72FE5"/>
    <w:rsid w:val="00A73091"/>
    <w:rsid w:val="00A73156"/>
    <w:rsid w:val="00A7328B"/>
    <w:rsid w:val="00A73DA1"/>
    <w:rsid w:val="00A73EF0"/>
    <w:rsid w:val="00A74112"/>
    <w:rsid w:val="00A74B3D"/>
    <w:rsid w:val="00A7504B"/>
    <w:rsid w:val="00A75A7C"/>
    <w:rsid w:val="00A76160"/>
    <w:rsid w:val="00A76521"/>
    <w:rsid w:val="00A77154"/>
    <w:rsid w:val="00A77462"/>
    <w:rsid w:val="00A775F1"/>
    <w:rsid w:val="00A7792B"/>
    <w:rsid w:val="00A8034E"/>
    <w:rsid w:val="00A80774"/>
    <w:rsid w:val="00A80BD2"/>
    <w:rsid w:val="00A80E6F"/>
    <w:rsid w:val="00A81005"/>
    <w:rsid w:val="00A81543"/>
    <w:rsid w:val="00A81A39"/>
    <w:rsid w:val="00A823BD"/>
    <w:rsid w:val="00A825FF"/>
    <w:rsid w:val="00A8294F"/>
    <w:rsid w:val="00A8297B"/>
    <w:rsid w:val="00A8413F"/>
    <w:rsid w:val="00A841C9"/>
    <w:rsid w:val="00A84E08"/>
    <w:rsid w:val="00A851FA"/>
    <w:rsid w:val="00A85204"/>
    <w:rsid w:val="00A85602"/>
    <w:rsid w:val="00A85A19"/>
    <w:rsid w:val="00A8631F"/>
    <w:rsid w:val="00A86452"/>
    <w:rsid w:val="00A87611"/>
    <w:rsid w:val="00A87D49"/>
    <w:rsid w:val="00A90030"/>
    <w:rsid w:val="00A90046"/>
    <w:rsid w:val="00A90542"/>
    <w:rsid w:val="00A909B5"/>
    <w:rsid w:val="00A90A3E"/>
    <w:rsid w:val="00A90AD0"/>
    <w:rsid w:val="00A9101B"/>
    <w:rsid w:val="00A91662"/>
    <w:rsid w:val="00A91A56"/>
    <w:rsid w:val="00A91A5F"/>
    <w:rsid w:val="00A91FD2"/>
    <w:rsid w:val="00A93845"/>
    <w:rsid w:val="00A93DD6"/>
    <w:rsid w:val="00A93E60"/>
    <w:rsid w:val="00A94AD1"/>
    <w:rsid w:val="00A94ED5"/>
    <w:rsid w:val="00A94F93"/>
    <w:rsid w:val="00A953AC"/>
    <w:rsid w:val="00A95437"/>
    <w:rsid w:val="00A95523"/>
    <w:rsid w:val="00A95852"/>
    <w:rsid w:val="00A95BDD"/>
    <w:rsid w:val="00A96705"/>
    <w:rsid w:val="00A968C9"/>
    <w:rsid w:val="00A9696C"/>
    <w:rsid w:val="00A977AE"/>
    <w:rsid w:val="00A977B0"/>
    <w:rsid w:val="00AA07C3"/>
    <w:rsid w:val="00AA0987"/>
    <w:rsid w:val="00AA0EB5"/>
    <w:rsid w:val="00AA1283"/>
    <w:rsid w:val="00AA1E72"/>
    <w:rsid w:val="00AA274A"/>
    <w:rsid w:val="00AA2F11"/>
    <w:rsid w:val="00AA3595"/>
    <w:rsid w:val="00AA3F6D"/>
    <w:rsid w:val="00AA3FD0"/>
    <w:rsid w:val="00AA4582"/>
    <w:rsid w:val="00AA5177"/>
    <w:rsid w:val="00AA54D3"/>
    <w:rsid w:val="00AA55C7"/>
    <w:rsid w:val="00AA5D97"/>
    <w:rsid w:val="00AA6367"/>
    <w:rsid w:val="00AA6792"/>
    <w:rsid w:val="00AA67FF"/>
    <w:rsid w:val="00AA6F87"/>
    <w:rsid w:val="00AA7215"/>
    <w:rsid w:val="00AA7CAF"/>
    <w:rsid w:val="00AB0046"/>
    <w:rsid w:val="00AB08CE"/>
    <w:rsid w:val="00AB0C38"/>
    <w:rsid w:val="00AB1750"/>
    <w:rsid w:val="00AB1878"/>
    <w:rsid w:val="00AB1899"/>
    <w:rsid w:val="00AB1C75"/>
    <w:rsid w:val="00AB1DE7"/>
    <w:rsid w:val="00AB1E7B"/>
    <w:rsid w:val="00AB241B"/>
    <w:rsid w:val="00AB24F1"/>
    <w:rsid w:val="00AB365E"/>
    <w:rsid w:val="00AB443B"/>
    <w:rsid w:val="00AB44CD"/>
    <w:rsid w:val="00AB4667"/>
    <w:rsid w:val="00AB46C3"/>
    <w:rsid w:val="00AB4E1B"/>
    <w:rsid w:val="00AB4EA7"/>
    <w:rsid w:val="00AB4FEF"/>
    <w:rsid w:val="00AB57F6"/>
    <w:rsid w:val="00AB5AF3"/>
    <w:rsid w:val="00AB5DEE"/>
    <w:rsid w:val="00AB5E4E"/>
    <w:rsid w:val="00AB5F2D"/>
    <w:rsid w:val="00AB62E6"/>
    <w:rsid w:val="00AB638D"/>
    <w:rsid w:val="00AB6B43"/>
    <w:rsid w:val="00AB6E51"/>
    <w:rsid w:val="00AB76E0"/>
    <w:rsid w:val="00AB7A71"/>
    <w:rsid w:val="00AB7C65"/>
    <w:rsid w:val="00AC0076"/>
    <w:rsid w:val="00AC0A98"/>
    <w:rsid w:val="00AC0D24"/>
    <w:rsid w:val="00AC14E0"/>
    <w:rsid w:val="00AC14EC"/>
    <w:rsid w:val="00AC1729"/>
    <w:rsid w:val="00AC2954"/>
    <w:rsid w:val="00AC2E5B"/>
    <w:rsid w:val="00AC3200"/>
    <w:rsid w:val="00AC3300"/>
    <w:rsid w:val="00AC414B"/>
    <w:rsid w:val="00AC41AA"/>
    <w:rsid w:val="00AC420C"/>
    <w:rsid w:val="00AC4342"/>
    <w:rsid w:val="00AC49A6"/>
    <w:rsid w:val="00AC50F2"/>
    <w:rsid w:val="00AC535C"/>
    <w:rsid w:val="00AC539F"/>
    <w:rsid w:val="00AC559C"/>
    <w:rsid w:val="00AC563F"/>
    <w:rsid w:val="00AC6147"/>
    <w:rsid w:val="00AC6261"/>
    <w:rsid w:val="00AC63A4"/>
    <w:rsid w:val="00AC645F"/>
    <w:rsid w:val="00AC6DDB"/>
    <w:rsid w:val="00AC779C"/>
    <w:rsid w:val="00AD06C1"/>
    <w:rsid w:val="00AD0ABE"/>
    <w:rsid w:val="00AD0B87"/>
    <w:rsid w:val="00AD119D"/>
    <w:rsid w:val="00AD12AC"/>
    <w:rsid w:val="00AD1536"/>
    <w:rsid w:val="00AD1C9E"/>
    <w:rsid w:val="00AD27B4"/>
    <w:rsid w:val="00AD3222"/>
    <w:rsid w:val="00AD32F7"/>
    <w:rsid w:val="00AD3A95"/>
    <w:rsid w:val="00AD3DB0"/>
    <w:rsid w:val="00AD44E5"/>
    <w:rsid w:val="00AD4519"/>
    <w:rsid w:val="00AD481E"/>
    <w:rsid w:val="00AD4EBF"/>
    <w:rsid w:val="00AD5728"/>
    <w:rsid w:val="00AD584B"/>
    <w:rsid w:val="00AD5DC0"/>
    <w:rsid w:val="00AD5ED6"/>
    <w:rsid w:val="00AD5F24"/>
    <w:rsid w:val="00AD5FD7"/>
    <w:rsid w:val="00AD6061"/>
    <w:rsid w:val="00AD63D3"/>
    <w:rsid w:val="00AD65BA"/>
    <w:rsid w:val="00AD6851"/>
    <w:rsid w:val="00AD6B5D"/>
    <w:rsid w:val="00AD6E3A"/>
    <w:rsid w:val="00AD7027"/>
    <w:rsid w:val="00AD71D9"/>
    <w:rsid w:val="00AD7E85"/>
    <w:rsid w:val="00AE05EC"/>
    <w:rsid w:val="00AE0B67"/>
    <w:rsid w:val="00AE0EE7"/>
    <w:rsid w:val="00AE11ED"/>
    <w:rsid w:val="00AE120E"/>
    <w:rsid w:val="00AE17A1"/>
    <w:rsid w:val="00AE22BE"/>
    <w:rsid w:val="00AE244F"/>
    <w:rsid w:val="00AE24A2"/>
    <w:rsid w:val="00AE2AD5"/>
    <w:rsid w:val="00AE35CD"/>
    <w:rsid w:val="00AE5544"/>
    <w:rsid w:val="00AE69DE"/>
    <w:rsid w:val="00AE6D16"/>
    <w:rsid w:val="00AE6E66"/>
    <w:rsid w:val="00AE70AA"/>
    <w:rsid w:val="00AE73F3"/>
    <w:rsid w:val="00AF0271"/>
    <w:rsid w:val="00AF099F"/>
    <w:rsid w:val="00AF1218"/>
    <w:rsid w:val="00AF1248"/>
    <w:rsid w:val="00AF12CD"/>
    <w:rsid w:val="00AF16F5"/>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89E"/>
    <w:rsid w:val="00AF4B35"/>
    <w:rsid w:val="00AF5AC6"/>
    <w:rsid w:val="00AF5E98"/>
    <w:rsid w:val="00AF5ED0"/>
    <w:rsid w:val="00AF68D2"/>
    <w:rsid w:val="00AF732C"/>
    <w:rsid w:val="00AF74C8"/>
    <w:rsid w:val="00AF7B4A"/>
    <w:rsid w:val="00AF7C95"/>
    <w:rsid w:val="00AF7DE7"/>
    <w:rsid w:val="00B00085"/>
    <w:rsid w:val="00B00966"/>
    <w:rsid w:val="00B00CC1"/>
    <w:rsid w:val="00B00DE8"/>
    <w:rsid w:val="00B010C7"/>
    <w:rsid w:val="00B011F2"/>
    <w:rsid w:val="00B012DD"/>
    <w:rsid w:val="00B019A1"/>
    <w:rsid w:val="00B01EA9"/>
    <w:rsid w:val="00B0214A"/>
    <w:rsid w:val="00B0247F"/>
    <w:rsid w:val="00B02A41"/>
    <w:rsid w:val="00B02B0D"/>
    <w:rsid w:val="00B0343C"/>
    <w:rsid w:val="00B036E0"/>
    <w:rsid w:val="00B03AF2"/>
    <w:rsid w:val="00B03C0C"/>
    <w:rsid w:val="00B03D11"/>
    <w:rsid w:val="00B03F1E"/>
    <w:rsid w:val="00B04268"/>
    <w:rsid w:val="00B049D7"/>
    <w:rsid w:val="00B04A6B"/>
    <w:rsid w:val="00B04F49"/>
    <w:rsid w:val="00B05191"/>
    <w:rsid w:val="00B0527D"/>
    <w:rsid w:val="00B0532B"/>
    <w:rsid w:val="00B05EF9"/>
    <w:rsid w:val="00B067C3"/>
    <w:rsid w:val="00B06952"/>
    <w:rsid w:val="00B06E02"/>
    <w:rsid w:val="00B07348"/>
    <w:rsid w:val="00B0772A"/>
    <w:rsid w:val="00B07CFD"/>
    <w:rsid w:val="00B100AC"/>
    <w:rsid w:val="00B103A6"/>
    <w:rsid w:val="00B1053E"/>
    <w:rsid w:val="00B10A61"/>
    <w:rsid w:val="00B10E27"/>
    <w:rsid w:val="00B110AB"/>
    <w:rsid w:val="00B110C1"/>
    <w:rsid w:val="00B12092"/>
    <w:rsid w:val="00B12935"/>
    <w:rsid w:val="00B129B7"/>
    <w:rsid w:val="00B12B2D"/>
    <w:rsid w:val="00B13128"/>
    <w:rsid w:val="00B13721"/>
    <w:rsid w:val="00B139AE"/>
    <w:rsid w:val="00B13C4B"/>
    <w:rsid w:val="00B14EA1"/>
    <w:rsid w:val="00B16262"/>
    <w:rsid w:val="00B1631B"/>
    <w:rsid w:val="00B163A2"/>
    <w:rsid w:val="00B16A1D"/>
    <w:rsid w:val="00B16BE0"/>
    <w:rsid w:val="00B16C80"/>
    <w:rsid w:val="00B16D2E"/>
    <w:rsid w:val="00B170A3"/>
    <w:rsid w:val="00B1783A"/>
    <w:rsid w:val="00B17ADD"/>
    <w:rsid w:val="00B17B02"/>
    <w:rsid w:val="00B17DB6"/>
    <w:rsid w:val="00B20173"/>
    <w:rsid w:val="00B201FA"/>
    <w:rsid w:val="00B20366"/>
    <w:rsid w:val="00B209F4"/>
    <w:rsid w:val="00B20BB9"/>
    <w:rsid w:val="00B20F01"/>
    <w:rsid w:val="00B2122C"/>
    <w:rsid w:val="00B21242"/>
    <w:rsid w:val="00B213AF"/>
    <w:rsid w:val="00B21E9A"/>
    <w:rsid w:val="00B220D2"/>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623A"/>
    <w:rsid w:val="00B26519"/>
    <w:rsid w:val="00B26E23"/>
    <w:rsid w:val="00B2757E"/>
    <w:rsid w:val="00B27B66"/>
    <w:rsid w:val="00B3002A"/>
    <w:rsid w:val="00B30909"/>
    <w:rsid w:val="00B30A94"/>
    <w:rsid w:val="00B30B56"/>
    <w:rsid w:val="00B30BDE"/>
    <w:rsid w:val="00B30CDD"/>
    <w:rsid w:val="00B30D6F"/>
    <w:rsid w:val="00B30FF5"/>
    <w:rsid w:val="00B31061"/>
    <w:rsid w:val="00B31322"/>
    <w:rsid w:val="00B31606"/>
    <w:rsid w:val="00B31D49"/>
    <w:rsid w:val="00B32126"/>
    <w:rsid w:val="00B329C7"/>
    <w:rsid w:val="00B33729"/>
    <w:rsid w:val="00B33DC4"/>
    <w:rsid w:val="00B34F16"/>
    <w:rsid w:val="00B35DC3"/>
    <w:rsid w:val="00B3677B"/>
    <w:rsid w:val="00B369D3"/>
    <w:rsid w:val="00B36A14"/>
    <w:rsid w:val="00B3738D"/>
    <w:rsid w:val="00B378BA"/>
    <w:rsid w:val="00B378F9"/>
    <w:rsid w:val="00B37E05"/>
    <w:rsid w:val="00B37E10"/>
    <w:rsid w:val="00B37F65"/>
    <w:rsid w:val="00B37F8A"/>
    <w:rsid w:val="00B40B2F"/>
    <w:rsid w:val="00B40BE5"/>
    <w:rsid w:val="00B40C9B"/>
    <w:rsid w:val="00B40E29"/>
    <w:rsid w:val="00B40E83"/>
    <w:rsid w:val="00B414B6"/>
    <w:rsid w:val="00B4152F"/>
    <w:rsid w:val="00B417F7"/>
    <w:rsid w:val="00B418FB"/>
    <w:rsid w:val="00B41A74"/>
    <w:rsid w:val="00B41DDD"/>
    <w:rsid w:val="00B41FED"/>
    <w:rsid w:val="00B421CC"/>
    <w:rsid w:val="00B4245A"/>
    <w:rsid w:val="00B42914"/>
    <w:rsid w:val="00B42F86"/>
    <w:rsid w:val="00B4301D"/>
    <w:rsid w:val="00B432B9"/>
    <w:rsid w:val="00B4333D"/>
    <w:rsid w:val="00B43A5C"/>
    <w:rsid w:val="00B43CE3"/>
    <w:rsid w:val="00B43E7F"/>
    <w:rsid w:val="00B43EAE"/>
    <w:rsid w:val="00B44C1C"/>
    <w:rsid w:val="00B44D0D"/>
    <w:rsid w:val="00B45BCB"/>
    <w:rsid w:val="00B45C7E"/>
    <w:rsid w:val="00B45D1C"/>
    <w:rsid w:val="00B46240"/>
    <w:rsid w:val="00B4647C"/>
    <w:rsid w:val="00B466BC"/>
    <w:rsid w:val="00B47048"/>
    <w:rsid w:val="00B4726C"/>
    <w:rsid w:val="00B47270"/>
    <w:rsid w:val="00B473FE"/>
    <w:rsid w:val="00B476DE"/>
    <w:rsid w:val="00B47730"/>
    <w:rsid w:val="00B50A8D"/>
    <w:rsid w:val="00B50E5D"/>
    <w:rsid w:val="00B50F25"/>
    <w:rsid w:val="00B51846"/>
    <w:rsid w:val="00B5196B"/>
    <w:rsid w:val="00B5197A"/>
    <w:rsid w:val="00B51B93"/>
    <w:rsid w:val="00B51D39"/>
    <w:rsid w:val="00B52123"/>
    <w:rsid w:val="00B52192"/>
    <w:rsid w:val="00B52563"/>
    <w:rsid w:val="00B529DF"/>
    <w:rsid w:val="00B529E2"/>
    <w:rsid w:val="00B52E1C"/>
    <w:rsid w:val="00B53232"/>
    <w:rsid w:val="00B534FA"/>
    <w:rsid w:val="00B538A7"/>
    <w:rsid w:val="00B53984"/>
    <w:rsid w:val="00B53D9F"/>
    <w:rsid w:val="00B53EDF"/>
    <w:rsid w:val="00B542CF"/>
    <w:rsid w:val="00B5493B"/>
    <w:rsid w:val="00B5516C"/>
    <w:rsid w:val="00B5559A"/>
    <w:rsid w:val="00B5581C"/>
    <w:rsid w:val="00B55C88"/>
    <w:rsid w:val="00B55E9E"/>
    <w:rsid w:val="00B565F1"/>
    <w:rsid w:val="00B566E2"/>
    <w:rsid w:val="00B56995"/>
    <w:rsid w:val="00B56C71"/>
    <w:rsid w:val="00B56E2A"/>
    <w:rsid w:val="00B5703E"/>
    <w:rsid w:val="00B573FE"/>
    <w:rsid w:val="00B57585"/>
    <w:rsid w:val="00B57DC1"/>
    <w:rsid w:val="00B57EE0"/>
    <w:rsid w:val="00B602EC"/>
    <w:rsid w:val="00B6079A"/>
    <w:rsid w:val="00B608A3"/>
    <w:rsid w:val="00B60FE8"/>
    <w:rsid w:val="00B6108F"/>
    <w:rsid w:val="00B6120B"/>
    <w:rsid w:val="00B61317"/>
    <w:rsid w:val="00B61869"/>
    <w:rsid w:val="00B61AFF"/>
    <w:rsid w:val="00B61C85"/>
    <w:rsid w:val="00B62244"/>
    <w:rsid w:val="00B625C3"/>
    <w:rsid w:val="00B62756"/>
    <w:rsid w:val="00B6277B"/>
    <w:rsid w:val="00B62C37"/>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BA5"/>
    <w:rsid w:val="00B711C3"/>
    <w:rsid w:val="00B711F0"/>
    <w:rsid w:val="00B714CA"/>
    <w:rsid w:val="00B716C8"/>
    <w:rsid w:val="00B721C7"/>
    <w:rsid w:val="00B727AD"/>
    <w:rsid w:val="00B72BCF"/>
    <w:rsid w:val="00B72E9D"/>
    <w:rsid w:val="00B7329D"/>
    <w:rsid w:val="00B73395"/>
    <w:rsid w:val="00B7353A"/>
    <w:rsid w:val="00B73850"/>
    <w:rsid w:val="00B738DC"/>
    <w:rsid w:val="00B7424D"/>
    <w:rsid w:val="00B74475"/>
    <w:rsid w:val="00B74858"/>
    <w:rsid w:val="00B74A09"/>
    <w:rsid w:val="00B74A3A"/>
    <w:rsid w:val="00B74D9E"/>
    <w:rsid w:val="00B75DEF"/>
    <w:rsid w:val="00B76064"/>
    <w:rsid w:val="00B76D84"/>
    <w:rsid w:val="00B77876"/>
    <w:rsid w:val="00B7788E"/>
    <w:rsid w:val="00B80307"/>
    <w:rsid w:val="00B809F2"/>
    <w:rsid w:val="00B80E88"/>
    <w:rsid w:val="00B81096"/>
    <w:rsid w:val="00B81142"/>
    <w:rsid w:val="00B816B8"/>
    <w:rsid w:val="00B81BBB"/>
    <w:rsid w:val="00B82272"/>
    <w:rsid w:val="00B82360"/>
    <w:rsid w:val="00B82B78"/>
    <w:rsid w:val="00B82EDC"/>
    <w:rsid w:val="00B832B4"/>
    <w:rsid w:val="00B834AF"/>
    <w:rsid w:val="00B83D67"/>
    <w:rsid w:val="00B83E74"/>
    <w:rsid w:val="00B843FE"/>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295"/>
    <w:rsid w:val="00B9144F"/>
    <w:rsid w:val="00B91922"/>
    <w:rsid w:val="00B9199C"/>
    <w:rsid w:val="00B92242"/>
    <w:rsid w:val="00B9248C"/>
    <w:rsid w:val="00B924EC"/>
    <w:rsid w:val="00B92EF5"/>
    <w:rsid w:val="00B93219"/>
    <w:rsid w:val="00B93271"/>
    <w:rsid w:val="00B9341C"/>
    <w:rsid w:val="00B9351A"/>
    <w:rsid w:val="00B93839"/>
    <w:rsid w:val="00B93FD2"/>
    <w:rsid w:val="00B942AC"/>
    <w:rsid w:val="00B950F8"/>
    <w:rsid w:val="00B95110"/>
    <w:rsid w:val="00B95876"/>
    <w:rsid w:val="00B95D0F"/>
    <w:rsid w:val="00B96172"/>
    <w:rsid w:val="00B9621C"/>
    <w:rsid w:val="00B9632D"/>
    <w:rsid w:val="00B9667A"/>
    <w:rsid w:val="00B97227"/>
    <w:rsid w:val="00B97254"/>
    <w:rsid w:val="00B976B5"/>
    <w:rsid w:val="00B979B5"/>
    <w:rsid w:val="00BA057E"/>
    <w:rsid w:val="00BA07AD"/>
    <w:rsid w:val="00BA099B"/>
    <w:rsid w:val="00BA0C6C"/>
    <w:rsid w:val="00BA1530"/>
    <w:rsid w:val="00BA173D"/>
    <w:rsid w:val="00BA1944"/>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A7F0C"/>
    <w:rsid w:val="00BB059C"/>
    <w:rsid w:val="00BB07AE"/>
    <w:rsid w:val="00BB0DAE"/>
    <w:rsid w:val="00BB0DBD"/>
    <w:rsid w:val="00BB0FA6"/>
    <w:rsid w:val="00BB1069"/>
    <w:rsid w:val="00BB106E"/>
    <w:rsid w:val="00BB11E9"/>
    <w:rsid w:val="00BB14D2"/>
    <w:rsid w:val="00BB174D"/>
    <w:rsid w:val="00BB1BC3"/>
    <w:rsid w:val="00BB27DB"/>
    <w:rsid w:val="00BB2AD2"/>
    <w:rsid w:val="00BB2CB0"/>
    <w:rsid w:val="00BB3D38"/>
    <w:rsid w:val="00BB3D3C"/>
    <w:rsid w:val="00BB45A9"/>
    <w:rsid w:val="00BB4A49"/>
    <w:rsid w:val="00BB4F85"/>
    <w:rsid w:val="00BB5024"/>
    <w:rsid w:val="00BB55DF"/>
    <w:rsid w:val="00BB5AD6"/>
    <w:rsid w:val="00BB5FA3"/>
    <w:rsid w:val="00BB69B8"/>
    <w:rsid w:val="00BB6BEE"/>
    <w:rsid w:val="00BB6DC9"/>
    <w:rsid w:val="00BB6EB8"/>
    <w:rsid w:val="00BB760C"/>
    <w:rsid w:val="00BB76BF"/>
    <w:rsid w:val="00BC02C9"/>
    <w:rsid w:val="00BC0416"/>
    <w:rsid w:val="00BC11F6"/>
    <w:rsid w:val="00BC1E67"/>
    <w:rsid w:val="00BC2430"/>
    <w:rsid w:val="00BC2554"/>
    <w:rsid w:val="00BC2583"/>
    <w:rsid w:val="00BC2620"/>
    <w:rsid w:val="00BC280E"/>
    <w:rsid w:val="00BC2D54"/>
    <w:rsid w:val="00BC3134"/>
    <w:rsid w:val="00BC376A"/>
    <w:rsid w:val="00BC392D"/>
    <w:rsid w:val="00BC4CB2"/>
    <w:rsid w:val="00BC5DF4"/>
    <w:rsid w:val="00BC5FC4"/>
    <w:rsid w:val="00BC6426"/>
    <w:rsid w:val="00BC65A3"/>
    <w:rsid w:val="00BC6902"/>
    <w:rsid w:val="00BC6B51"/>
    <w:rsid w:val="00BC7265"/>
    <w:rsid w:val="00BC7453"/>
    <w:rsid w:val="00BC7C00"/>
    <w:rsid w:val="00BD01E6"/>
    <w:rsid w:val="00BD0223"/>
    <w:rsid w:val="00BD0265"/>
    <w:rsid w:val="00BD0457"/>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A9D"/>
    <w:rsid w:val="00BD4E44"/>
    <w:rsid w:val="00BD6A65"/>
    <w:rsid w:val="00BD6C15"/>
    <w:rsid w:val="00BD6F34"/>
    <w:rsid w:val="00BD756E"/>
    <w:rsid w:val="00BD76D4"/>
    <w:rsid w:val="00BD775F"/>
    <w:rsid w:val="00BD7A60"/>
    <w:rsid w:val="00BE040E"/>
    <w:rsid w:val="00BE0851"/>
    <w:rsid w:val="00BE16B1"/>
    <w:rsid w:val="00BE16B2"/>
    <w:rsid w:val="00BE1C49"/>
    <w:rsid w:val="00BE1D60"/>
    <w:rsid w:val="00BE1D66"/>
    <w:rsid w:val="00BE1F9B"/>
    <w:rsid w:val="00BE2024"/>
    <w:rsid w:val="00BE2100"/>
    <w:rsid w:val="00BE2721"/>
    <w:rsid w:val="00BE3398"/>
    <w:rsid w:val="00BE3676"/>
    <w:rsid w:val="00BE4005"/>
    <w:rsid w:val="00BE44BE"/>
    <w:rsid w:val="00BE4E66"/>
    <w:rsid w:val="00BE52A7"/>
    <w:rsid w:val="00BE564B"/>
    <w:rsid w:val="00BE58FC"/>
    <w:rsid w:val="00BE5A27"/>
    <w:rsid w:val="00BE5C73"/>
    <w:rsid w:val="00BE6021"/>
    <w:rsid w:val="00BE6677"/>
    <w:rsid w:val="00BE6D00"/>
    <w:rsid w:val="00BE7049"/>
    <w:rsid w:val="00BE708F"/>
    <w:rsid w:val="00BE748D"/>
    <w:rsid w:val="00BE74A3"/>
    <w:rsid w:val="00BE7723"/>
    <w:rsid w:val="00BE7A79"/>
    <w:rsid w:val="00BF10F5"/>
    <w:rsid w:val="00BF1593"/>
    <w:rsid w:val="00BF16D5"/>
    <w:rsid w:val="00BF196E"/>
    <w:rsid w:val="00BF2045"/>
    <w:rsid w:val="00BF32AE"/>
    <w:rsid w:val="00BF3625"/>
    <w:rsid w:val="00BF3781"/>
    <w:rsid w:val="00BF3966"/>
    <w:rsid w:val="00BF3A53"/>
    <w:rsid w:val="00BF3B6B"/>
    <w:rsid w:val="00BF41E2"/>
    <w:rsid w:val="00BF466D"/>
    <w:rsid w:val="00BF4E0A"/>
    <w:rsid w:val="00BF52B6"/>
    <w:rsid w:val="00BF5443"/>
    <w:rsid w:val="00BF5729"/>
    <w:rsid w:val="00BF5936"/>
    <w:rsid w:val="00BF62D3"/>
    <w:rsid w:val="00BF662F"/>
    <w:rsid w:val="00BF6751"/>
    <w:rsid w:val="00BF6A58"/>
    <w:rsid w:val="00BF7316"/>
    <w:rsid w:val="00BF7840"/>
    <w:rsid w:val="00BF7DD9"/>
    <w:rsid w:val="00C0025C"/>
    <w:rsid w:val="00C0099A"/>
    <w:rsid w:val="00C00B59"/>
    <w:rsid w:val="00C00BB2"/>
    <w:rsid w:val="00C00CBC"/>
    <w:rsid w:val="00C012E6"/>
    <w:rsid w:val="00C02276"/>
    <w:rsid w:val="00C024A9"/>
    <w:rsid w:val="00C02536"/>
    <w:rsid w:val="00C02C91"/>
    <w:rsid w:val="00C032BF"/>
    <w:rsid w:val="00C03941"/>
    <w:rsid w:val="00C0398A"/>
    <w:rsid w:val="00C03A0A"/>
    <w:rsid w:val="00C03B14"/>
    <w:rsid w:val="00C04181"/>
    <w:rsid w:val="00C0419A"/>
    <w:rsid w:val="00C04331"/>
    <w:rsid w:val="00C04363"/>
    <w:rsid w:val="00C04B0A"/>
    <w:rsid w:val="00C04B34"/>
    <w:rsid w:val="00C04E9D"/>
    <w:rsid w:val="00C05184"/>
    <w:rsid w:val="00C06F91"/>
    <w:rsid w:val="00C07085"/>
    <w:rsid w:val="00C07293"/>
    <w:rsid w:val="00C07ACA"/>
    <w:rsid w:val="00C07C2B"/>
    <w:rsid w:val="00C1022A"/>
    <w:rsid w:val="00C10F9E"/>
    <w:rsid w:val="00C1149B"/>
    <w:rsid w:val="00C12A73"/>
    <w:rsid w:val="00C13515"/>
    <w:rsid w:val="00C13E1A"/>
    <w:rsid w:val="00C14078"/>
    <w:rsid w:val="00C14213"/>
    <w:rsid w:val="00C14CAF"/>
    <w:rsid w:val="00C1518C"/>
    <w:rsid w:val="00C156DF"/>
    <w:rsid w:val="00C157CD"/>
    <w:rsid w:val="00C15913"/>
    <w:rsid w:val="00C15AEF"/>
    <w:rsid w:val="00C16110"/>
    <w:rsid w:val="00C1636B"/>
    <w:rsid w:val="00C1715B"/>
    <w:rsid w:val="00C17244"/>
    <w:rsid w:val="00C173DC"/>
    <w:rsid w:val="00C17491"/>
    <w:rsid w:val="00C17775"/>
    <w:rsid w:val="00C20200"/>
    <w:rsid w:val="00C2042B"/>
    <w:rsid w:val="00C205BF"/>
    <w:rsid w:val="00C20631"/>
    <w:rsid w:val="00C20868"/>
    <w:rsid w:val="00C21265"/>
    <w:rsid w:val="00C21B0F"/>
    <w:rsid w:val="00C223BA"/>
    <w:rsid w:val="00C22592"/>
    <w:rsid w:val="00C2259C"/>
    <w:rsid w:val="00C22672"/>
    <w:rsid w:val="00C227C7"/>
    <w:rsid w:val="00C22C28"/>
    <w:rsid w:val="00C22E7A"/>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DEF"/>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BF5"/>
    <w:rsid w:val="00C35C17"/>
    <w:rsid w:val="00C35D84"/>
    <w:rsid w:val="00C36431"/>
    <w:rsid w:val="00C3669A"/>
    <w:rsid w:val="00C36700"/>
    <w:rsid w:val="00C36718"/>
    <w:rsid w:val="00C3675D"/>
    <w:rsid w:val="00C36DB2"/>
    <w:rsid w:val="00C370BE"/>
    <w:rsid w:val="00C370E6"/>
    <w:rsid w:val="00C3726E"/>
    <w:rsid w:val="00C373E3"/>
    <w:rsid w:val="00C3755D"/>
    <w:rsid w:val="00C37918"/>
    <w:rsid w:val="00C3796D"/>
    <w:rsid w:val="00C4018A"/>
    <w:rsid w:val="00C40557"/>
    <w:rsid w:val="00C405B3"/>
    <w:rsid w:val="00C41216"/>
    <w:rsid w:val="00C41F11"/>
    <w:rsid w:val="00C420F6"/>
    <w:rsid w:val="00C422BA"/>
    <w:rsid w:val="00C423D5"/>
    <w:rsid w:val="00C4277C"/>
    <w:rsid w:val="00C42992"/>
    <w:rsid w:val="00C42B66"/>
    <w:rsid w:val="00C430C7"/>
    <w:rsid w:val="00C431F9"/>
    <w:rsid w:val="00C432A6"/>
    <w:rsid w:val="00C4338C"/>
    <w:rsid w:val="00C4395A"/>
    <w:rsid w:val="00C43C1A"/>
    <w:rsid w:val="00C43E0F"/>
    <w:rsid w:val="00C43EE2"/>
    <w:rsid w:val="00C441F1"/>
    <w:rsid w:val="00C445D2"/>
    <w:rsid w:val="00C44DA1"/>
    <w:rsid w:val="00C44EEA"/>
    <w:rsid w:val="00C454D3"/>
    <w:rsid w:val="00C45602"/>
    <w:rsid w:val="00C45F7B"/>
    <w:rsid w:val="00C45F9A"/>
    <w:rsid w:val="00C47283"/>
    <w:rsid w:val="00C4733D"/>
    <w:rsid w:val="00C473B2"/>
    <w:rsid w:val="00C474EF"/>
    <w:rsid w:val="00C47586"/>
    <w:rsid w:val="00C47D8D"/>
    <w:rsid w:val="00C50227"/>
    <w:rsid w:val="00C50296"/>
    <w:rsid w:val="00C50631"/>
    <w:rsid w:val="00C5090E"/>
    <w:rsid w:val="00C50B51"/>
    <w:rsid w:val="00C50B99"/>
    <w:rsid w:val="00C50DB6"/>
    <w:rsid w:val="00C514DD"/>
    <w:rsid w:val="00C5196B"/>
    <w:rsid w:val="00C522A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A11"/>
    <w:rsid w:val="00C54BB2"/>
    <w:rsid w:val="00C54FCA"/>
    <w:rsid w:val="00C55A10"/>
    <w:rsid w:val="00C562E5"/>
    <w:rsid w:val="00C5641A"/>
    <w:rsid w:val="00C56BDE"/>
    <w:rsid w:val="00C56F84"/>
    <w:rsid w:val="00C57040"/>
    <w:rsid w:val="00C5705A"/>
    <w:rsid w:val="00C570F8"/>
    <w:rsid w:val="00C571FE"/>
    <w:rsid w:val="00C5757B"/>
    <w:rsid w:val="00C60164"/>
    <w:rsid w:val="00C60682"/>
    <w:rsid w:val="00C61620"/>
    <w:rsid w:val="00C6163A"/>
    <w:rsid w:val="00C61C61"/>
    <w:rsid w:val="00C61CDC"/>
    <w:rsid w:val="00C62849"/>
    <w:rsid w:val="00C62B54"/>
    <w:rsid w:val="00C63188"/>
    <w:rsid w:val="00C637A9"/>
    <w:rsid w:val="00C63BFF"/>
    <w:rsid w:val="00C63E05"/>
    <w:rsid w:val="00C64362"/>
    <w:rsid w:val="00C64633"/>
    <w:rsid w:val="00C646EF"/>
    <w:rsid w:val="00C647A9"/>
    <w:rsid w:val="00C652D4"/>
    <w:rsid w:val="00C65416"/>
    <w:rsid w:val="00C65450"/>
    <w:rsid w:val="00C65952"/>
    <w:rsid w:val="00C659A2"/>
    <w:rsid w:val="00C65FAA"/>
    <w:rsid w:val="00C660F5"/>
    <w:rsid w:val="00C664A3"/>
    <w:rsid w:val="00C66B1D"/>
    <w:rsid w:val="00C66F48"/>
    <w:rsid w:val="00C66F7C"/>
    <w:rsid w:val="00C67202"/>
    <w:rsid w:val="00C672EC"/>
    <w:rsid w:val="00C67DE6"/>
    <w:rsid w:val="00C70400"/>
    <w:rsid w:val="00C707C2"/>
    <w:rsid w:val="00C70992"/>
    <w:rsid w:val="00C70A90"/>
    <w:rsid w:val="00C70DD2"/>
    <w:rsid w:val="00C70E7B"/>
    <w:rsid w:val="00C70FB7"/>
    <w:rsid w:val="00C712FD"/>
    <w:rsid w:val="00C7158C"/>
    <w:rsid w:val="00C71A83"/>
    <w:rsid w:val="00C71C93"/>
    <w:rsid w:val="00C71ECC"/>
    <w:rsid w:val="00C7257C"/>
    <w:rsid w:val="00C72624"/>
    <w:rsid w:val="00C72B02"/>
    <w:rsid w:val="00C72F1B"/>
    <w:rsid w:val="00C73541"/>
    <w:rsid w:val="00C73808"/>
    <w:rsid w:val="00C7384F"/>
    <w:rsid w:val="00C73984"/>
    <w:rsid w:val="00C74044"/>
    <w:rsid w:val="00C74314"/>
    <w:rsid w:val="00C747F6"/>
    <w:rsid w:val="00C74DAC"/>
    <w:rsid w:val="00C75F99"/>
    <w:rsid w:val="00C765F3"/>
    <w:rsid w:val="00C76712"/>
    <w:rsid w:val="00C76DEC"/>
    <w:rsid w:val="00C76F0B"/>
    <w:rsid w:val="00C772BA"/>
    <w:rsid w:val="00C77324"/>
    <w:rsid w:val="00C77A13"/>
    <w:rsid w:val="00C8086F"/>
    <w:rsid w:val="00C80BC1"/>
    <w:rsid w:val="00C80C93"/>
    <w:rsid w:val="00C80F1A"/>
    <w:rsid w:val="00C813BD"/>
    <w:rsid w:val="00C818E7"/>
    <w:rsid w:val="00C81BE4"/>
    <w:rsid w:val="00C81F7E"/>
    <w:rsid w:val="00C823FA"/>
    <w:rsid w:val="00C828FC"/>
    <w:rsid w:val="00C82AA2"/>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693"/>
    <w:rsid w:val="00C90F2E"/>
    <w:rsid w:val="00C910DB"/>
    <w:rsid w:val="00C91166"/>
    <w:rsid w:val="00C913C1"/>
    <w:rsid w:val="00C917EE"/>
    <w:rsid w:val="00C9192D"/>
    <w:rsid w:val="00C91A45"/>
    <w:rsid w:val="00C92174"/>
    <w:rsid w:val="00C93859"/>
    <w:rsid w:val="00C93B71"/>
    <w:rsid w:val="00C942FA"/>
    <w:rsid w:val="00C94BBF"/>
    <w:rsid w:val="00C94EC9"/>
    <w:rsid w:val="00C956DB"/>
    <w:rsid w:val="00C95C27"/>
    <w:rsid w:val="00C95DF8"/>
    <w:rsid w:val="00C95E32"/>
    <w:rsid w:val="00C9617A"/>
    <w:rsid w:val="00C96244"/>
    <w:rsid w:val="00C9678B"/>
    <w:rsid w:val="00C9680B"/>
    <w:rsid w:val="00C96FF7"/>
    <w:rsid w:val="00C977E8"/>
    <w:rsid w:val="00C97E0D"/>
    <w:rsid w:val="00C97F61"/>
    <w:rsid w:val="00CA0B2C"/>
    <w:rsid w:val="00CA0EE0"/>
    <w:rsid w:val="00CA0F20"/>
    <w:rsid w:val="00CA179F"/>
    <w:rsid w:val="00CA17BD"/>
    <w:rsid w:val="00CA1A2A"/>
    <w:rsid w:val="00CA1B90"/>
    <w:rsid w:val="00CA1D02"/>
    <w:rsid w:val="00CA1DC5"/>
    <w:rsid w:val="00CA22C4"/>
    <w:rsid w:val="00CA2753"/>
    <w:rsid w:val="00CA2BE7"/>
    <w:rsid w:val="00CA2D3F"/>
    <w:rsid w:val="00CA2F18"/>
    <w:rsid w:val="00CA31A0"/>
    <w:rsid w:val="00CA34ED"/>
    <w:rsid w:val="00CA3F79"/>
    <w:rsid w:val="00CA40CE"/>
    <w:rsid w:val="00CA413E"/>
    <w:rsid w:val="00CA4187"/>
    <w:rsid w:val="00CA41AB"/>
    <w:rsid w:val="00CA45AD"/>
    <w:rsid w:val="00CA46B8"/>
    <w:rsid w:val="00CA48B0"/>
    <w:rsid w:val="00CA4B97"/>
    <w:rsid w:val="00CA4D46"/>
    <w:rsid w:val="00CA56AC"/>
    <w:rsid w:val="00CA5E8D"/>
    <w:rsid w:val="00CA6765"/>
    <w:rsid w:val="00CA680E"/>
    <w:rsid w:val="00CA68C9"/>
    <w:rsid w:val="00CA69AE"/>
    <w:rsid w:val="00CA6B7A"/>
    <w:rsid w:val="00CA71A3"/>
    <w:rsid w:val="00CA75AB"/>
    <w:rsid w:val="00CA78F9"/>
    <w:rsid w:val="00CA7C01"/>
    <w:rsid w:val="00CA7CA8"/>
    <w:rsid w:val="00CA7EB4"/>
    <w:rsid w:val="00CB019A"/>
    <w:rsid w:val="00CB0ED7"/>
    <w:rsid w:val="00CB15CA"/>
    <w:rsid w:val="00CB19A5"/>
    <w:rsid w:val="00CB1C7E"/>
    <w:rsid w:val="00CB21C2"/>
    <w:rsid w:val="00CB2E15"/>
    <w:rsid w:val="00CB2E79"/>
    <w:rsid w:val="00CB2FA2"/>
    <w:rsid w:val="00CB3013"/>
    <w:rsid w:val="00CB312F"/>
    <w:rsid w:val="00CB39AF"/>
    <w:rsid w:val="00CB3AA1"/>
    <w:rsid w:val="00CB3CB9"/>
    <w:rsid w:val="00CB49E4"/>
    <w:rsid w:val="00CB4A79"/>
    <w:rsid w:val="00CB54D4"/>
    <w:rsid w:val="00CB57A1"/>
    <w:rsid w:val="00CB57D8"/>
    <w:rsid w:val="00CB59ED"/>
    <w:rsid w:val="00CB5A40"/>
    <w:rsid w:val="00CB5DA9"/>
    <w:rsid w:val="00CB5EAF"/>
    <w:rsid w:val="00CB5FC6"/>
    <w:rsid w:val="00CB6ED8"/>
    <w:rsid w:val="00CB7771"/>
    <w:rsid w:val="00CB7A7A"/>
    <w:rsid w:val="00CB7FEE"/>
    <w:rsid w:val="00CC0687"/>
    <w:rsid w:val="00CC0B06"/>
    <w:rsid w:val="00CC1AAA"/>
    <w:rsid w:val="00CC1CD5"/>
    <w:rsid w:val="00CC1E51"/>
    <w:rsid w:val="00CC1F5F"/>
    <w:rsid w:val="00CC20C0"/>
    <w:rsid w:val="00CC2882"/>
    <w:rsid w:val="00CC2F61"/>
    <w:rsid w:val="00CC3068"/>
    <w:rsid w:val="00CC3186"/>
    <w:rsid w:val="00CC341C"/>
    <w:rsid w:val="00CC4022"/>
    <w:rsid w:val="00CC404A"/>
    <w:rsid w:val="00CC4216"/>
    <w:rsid w:val="00CC449A"/>
    <w:rsid w:val="00CC46A5"/>
    <w:rsid w:val="00CC4BE9"/>
    <w:rsid w:val="00CC4D42"/>
    <w:rsid w:val="00CC51BE"/>
    <w:rsid w:val="00CC52AC"/>
    <w:rsid w:val="00CC5B57"/>
    <w:rsid w:val="00CC5BFC"/>
    <w:rsid w:val="00CC5F6E"/>
    <w:rsid w:val="00CC75BE"/>
    <w:rsid w:val="00CC75D4"/>
    <w:rsid w:val="00CC79D5"/>
    <w:rsid w:val="00CC7D7B"/>
    <w:rsid w:val="00CC7D8F"/>
    <w:rsid w:val="00CD017B"/>
    <w:rsid w:val="00CD031C"/>
    <w:rsid w:val="00CD03D6"/>
    <w:rsid w:val="00CD0599"/>
    <w:rsid w:val="00CD070B"/>
    <w:rsid w:val="00CD157C"/>
    <w:rsid w:val="00CD157F"/>
    <w:rsid w:val="00CD166C"/>
    <w:rsid w:val="00CD1BF5"/>
    <w:rsid w:val="00CD1C94"/>
    <w:rsid w:val="00CD22D3"/>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48"/>
    <w:rsid w:val="00CD5355"/>
    <w:rsid w:val="00CD5CE1"/>
    <w:rsid w:val="00CD5D72"/>
    <w:rsid w:val="00CD60FA"/>
    <w:rsid w:val="00CD61A5"/>
    <w:rsid w:val="00CD628F"/>
    <w:rsid w:val="00CD62FE"/>
    <w:rsid w:val="00CD766B"/>
    <w:rsid w:val="00CD77A6"/>
    <w:rsid w:val="00CD7D58"/>
    <w:rsid w:val="00CD7EB6"/>
    <w:rsid w:val="00CD7FBB"/>
    <w:rsid w:val="00CE0350"/>
    <w:rsid w:val="00CE04DE"/>
    <w:rsid w:val="00CE09A2"/>
    <w:rsid w:val="00CE0E84"/>
    <w:rsid w:val="00CE10B1"/>
    <w:rsid w:val="00CE14D6"/>
    <w:rsid w:val="00CE153D"/>
    <w:rsid w:val="00CE1D7B"/>
    <w:rsid w:val="00CE2118"/>
    <w:rsid w:val="00CE243F"/>
    <w:rsid w:val="00CE2551"/>
    <w:rsid w:val="00CE25FD"/>
    <w:rsid w:val="00CE3175"/>
    <w:rsid w:val="00CE3293"/>
    <w:rsid w:val="00CE3C6D"/>
    <w:rsid w:val="00CE3C82"/>
    <w:rsid w:val="00CE43B1"/>
    <w:rsid w:val="00CE45DB"/>
    <w:rsid w:val="00CE4964"/>
    <w:rsid w:val="00CE4BCF"/>
    <w:rsid w:val="00CE537D"/>
    <w:rsid w:val="00CE5414"/>
    <w:rsid w:val="00CE55AA"/>
    <w:rsid w:val="00CE55F6"/>
    <w:rsid w:val="00CE5E44"/>
    <w:rsid w:val="00CE6540"/>
    <w:rsid w:val="00CE6D9E"/>
    <w:rsid w:val="00CE6DB4"/>
    <w:rsid w:val="00CE70AB"/>
    <w:rsid w:val="00CE794B"/>
    <w:rsid w:val="00CE7C39"/>
    <w:rsid w:val="00CE7E55"/>
    <w:rsid w:val="00CF05EA"/>
    <w:rsid w:val="00CF088B"/>
    <w:rsid w:val="00CF0FB9"/>
    <w:rsid w:val="00CF1A2B"/>
    <w:rsid w:val="00CF21A8"/>
    <w:rsid w:val="00CF248F"/>
    <w:rsid w:val="00CF2AB7"/>
    <w:rsid w:val="00CF3394"/>
    <w:rsid w:val="00CF3522"/>
    <w:rsid w:val="00CF35E4"/>
    <w:rsid w:val="00CF370F"/>
    <w:rsid w:val="00CF3F37"/>
    <w:rsid w:val="00CF4A46"/>
    <w:rsid w:val="00CF4BD8"/>
    <w:rsid w:val="00CF581A"/>
    <w:rsid w:val="00CF6248"/>
    <w:rsid w:val="00CF63D1"/>
    <w:rsid w:val="00CF6F90"/>
    <w:rsid w:val="00CF74C0"/>
    <w:rsid w:val="00CF7897"/>
    <w:rsid w:val="00CF7997"/>
    <w:rsid w:val="00CF7A5B"/>
    <w:rsid w:val="00CF7BFA"/>
    <w:rsid w:val="00D0072D"/>
    <w:rsid w:val="00D009E0"/>
    <w:rsid w:val="00D00DD6"/>
    <w:rsid w:val="00D01230"/>
    <w:rsid w:val="00D013D9"/>
    <w:rsid w:val="00D017A2"/>
    <w:rsid w:val="00D019BF"/>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70FF"/>
    <w:rsid w:val="00D075A4"/>
    <w:rsid w:val="00D07D94"/>
    <w:rsid w:val="00D10407"/>
    <w:rsid w:val="00D1058E"/>
    <w:rsid w:val="00D10AE5"/>
    <w:rsid w:val="00D11433"/>
    <w:rsid w:val="00D11542"/>
    <w:rsid w:val="00D11573"/>
    <w:rsid w:val="00D11EC5"/>
    <w:rsid w:val="00D12059"/>
    <w:rsid w:val="00D12087"/>
    <w:rsid w:val="00D122E6"/>
    <w:rsid w:val="00D1239D"/>
    <w:rsid w:val="00D12535"/>
    <w:rsid w:val="00D125DE"/>
    <w:rsid w:val="00D12DF5"/>
    <w:rsid w:val="00D13777"/>
    <w:rsid w:val="00D13BB6"/>
    <w:rsid w:val="00D13C2D"/>
    <w:rsid w:val="00D1459C"/>
    <w:rsid w:val="00D14E96"/>
    <w:rsid w:val="00D151F0"/>
    <w:rsid w:val="00D156B6"/>
    <w:rsid w:val="00D15F8E"/>
    <w:rsid w:val="00D1690E"/>
    <w:rsid w:val="00D16B54"/>
    <w:rsid w:val="00D172D8"/>
    <w:rsid w:val="00D173A5"/>
    <w:rsid w:val="00D173FA"/>
    <w:rsid w:val="00D178E9"/>
    <w:rsid w:val="00D17AB7"/>
    <w:rsid w:val="00D17B3F"/>
    <w:rsid w:val="00D17E74"/>
    <w:rsid w:val="00D17F1D"/>
    <w:rsid w:val="00D219D5"/>
    <w:rsid w:val="00D2203E"/>
    <w:rsid w:val="00D2231C"/>
    <w:rsid w:val="00D223F2"/>
    <w:rsid w:val="00D2254A"/>
    <w:rsid w:val="00D22704"/>
    <w:rsid w:val="00D230FC"/>
    <w:rsid w:val="00D23513"/>
    <w:rsid w:val="00D237C9"/>
    <w:rsid w:val="00D23C31"/>
    <w:rsid w:val="00D242CF"/>
    <w:rsid w:val="00D24573"/>
    <w:rsid w:val="00D245E2"/>
    <w:rsid w:val="00D24A53"/>
    <w:rsid w:val="00D24C69"/>
    <w:rsid w:val="00D251CF"/>
    <w:rsid w:val="00D252B8"/>
    <w:rsid w:val="00D26621"/>
    <w:rsid w:val="00D267D6"/>
    <w:rsid w:val="00D26BEC"/>
    <w:rsid w:val="00D2729A"/>
    <w:rsid w:val="00D27506"/>
    <w:rsid w:val="00D27E6C"/>
    <w:rsid w:val="00D30408"/>
    <w:rsid w:val="00D30F5A"/>
    <w:rsid w:val="00D31150"/>
    <w:rsid w:val="00D3185C"/>
    <w:rsid w:val="00D3198D"/>
    <w:rsid w:val="00D31FC6"/>
    <w:rsid w:val="00D32EAB"/>
    <w:rsid w:val="00D3357B"/>
    <w:rsid w:val="00D34338"/>
    <w:rsid w:val="00D34688"/>
    <w:rsid w:val="00D35601"/>
    <w:rsid w:val="00D35F3B"/>
    <w:rsid w:val="00D36027"/>
    <w:rsid w:val="00D36337"/>
    <w:rsid w:val="00D363AA"/>
    <w:rsid w:val="00D36522"/>
    <w:rsid w:val="00D366B7"/>
    <w:rsid w:val="00D367F5"/>
    <w:rsid w:val="00D36C23"/>
    <w:rsid w:val="00D36FB2"/>
    <w:rsid w:val="00D37072"/>
    <w:rsid w:val="00D375C7"/>
    <w:rsid w:val="00D3769E"/>
    <w:rsid w:val="00D40081"/>
    <w:rsid w:val="00D407D8"/>
    <w:rsid w:val="00D40EAF"/>
    <w:rsid w:val="00D41034"/>
    <w:rsid w:val="00D411A8"/>
    <w:rsid w:val="00D413DA"/>
    <w:rsid w:val="00D418A3"/>
    <w:rsid w:val="00D41B99"/>
    <w:rsid w:val="00D41E45"/>
    <w:rsid w:val="00D42249"/>
    <w:rsid w:val="00D4244A"/>
    <w:rsid w:val="00D42487"/>
    <w:rsid w:val="00D4341B"/>
    <w:rsid w:val="00D43539"/>
    <w:rsid w:val="00D4370F"/>
    <w:rsid w:val="00D43FBC"/>
    <w:rsid w:val="00D4432C"/>
    <w:rsid w:val="00D44522"/>
    <w:rsid w:val="00D44CC7"/>
    <w:rsid w:val="00D45865"/>
    <w:rsid w:val="00D45867"/>
    <w:rsid w:val="00D458A5"/>
    <w:rsid w:val="00D4595F"/>
    <w:rsid w:val="00D459FC"/>
    <w:rsid w:val="00D45CE3"/>
    <w:rsid w:val="00D46157"/>
    <w:rsid w:val="00D4646A"/>
    <w:rsid w:val="00D465BF"/>
    <w:rsid w:val="00D466A8"/>
    <w:rsid w:val="00D46A18"/>
    <w:rsid w:val="00D46BEF"/>
    <w:rsid w:val="00D47187"/>
    <w:rsid w:val="00D4751A"/>
    <w:rsid w:val="00D477E0"/>
    <w:rsid w:val="00D47DDB"/>
    <w:rsid w:val="00D47FF2"/>
    <w:rsid w:val="00D50011"/>
    <w:rsid w:val="00D500F2"/>
    <w:rsid w:val="00D5017E"/>
    <w:rsid w:val="00D501F5"/>
    <w:rsid w:val="00D508E4"/>
    <w:rsid w:val="00D50B2C"/>
    <w:rsid w:val="00D50EB3"/>
    <w:rsid w:val="00D519D2"/>
    <w:rsid w:val="00D52284"/>
    <w:rsid w:val="00D528B5"/>
    <w:rsid w:val="00D5322C"/>
    <w:rsid w:val="00D533A1"/>
    <w:rsid w:val="00D533BF"/>
    <w:rsid w:val="00D53841"/>
    <w:rsid w:val="00D53C05"/>
    <w:rsid w:val="00D544C2"/>
    <w:rsid w:val="00D546B8"/>
    <w:rsid w:val="00D55294"/>
    <w:rsid w:val="00D56089"/>
    <w:rsid w:val="00D565E0"/>
    <w:rsid w:val="00D567E0"/>
    <w:rsid w:val="00D56ACF"/>
    <w:rsid w:val="00D56BDE"/>
    <w:rsid w:val="00D57152"/>
    <w:rsid w:val="00D571A7"/>
    <w:rsid w:val="00D57692"/>
    <w:rsid w:val="00D576D7"/>
    <w:rsid w:val="00D57AF1"/>
    <w:rsid w:val="00D57CBB"/>
    <w:rsid w:val="00D60236"/>
    <w:rsid w:val="00D6063B"/>
    <w:rsid w:val="00D60B43"/>
    <w:rsid w:val="00D60C45"/>
    <w:rsid w:val="00D613F0"/>
    <w:rsid w:val="00D614C7"/>
    <w:rsid w:val="00D61A0C"/>
    <w:rsid w:val="00D61E9C"/>
    <w:rsid w:val="00D61F3D"/>
    <w:rsid w:val="00D61F93"/>
    <w:rsid w:val="00D621A1"/>
    <w:rsid w:val="00D623A8"/>
    <w:rsid w:val="00D62472"/>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7D9"/>
    <w:rsid w:val="00D66C42"/>
    <w:rsid w:val="00D671FA"/>
    <w:rsid w:val="00D67216"/>
    <w:rsid w:val="00D67780"/>
    <w:rsid w:val="00D701C2"/>
    <w:rsid w:val="00D7055C"/>
    <w:rsid w:val="00D709B0"/>
    <w:rsid w:val="00D71468"/>
    <w:rsid w:val="00D7160C"/>
    <w:rsid w:val="00D71741"/>
    <w:rsid w:val="00D71A0A"/>
    <w:rsid w:val="00D71A70"/>
    <w:rsid w:val="00D71C1F"/>
    <w:rsid w:val="00D71CE6"/>
    <w:rsid w:val="00D71F03"/>
    <w:rsid w:val="00D72107"/>
    <w:rsid w:val="00D72304"/>
    <w:rsid w:val="00D7249D"/>
    <w:rsid w:val="00D727B3"/>
    <w:rsid w:val="00D73210"/>
    <w:rsid w:val="00D73AD4"/>
    <w:rsid w:val="00D73C8C"/>
    <w:rsid w:val="00D744AF"/>
    <w:rsid w:val="00D74862"/>
    <w:rsid w:val="00D750C6"/>
    <w:rsid w:val="00D75172"/>
    <w:rsid w:val="00D7555D"/>
    <w:rsid w:val="00D756D2"/>
    <w:rsid w:val="00D75879"/>
    <w:rsid w:val="00D75908"/>
    <w:rsid w:val="00D75CD0"/>
    <w:rsid w:val="00D75ECA"/>
    <w:rsid w:val="00D760B5"/>
    <w:rsid w:val="00D764EB"/>
    <w:rsid w:val="00D766A9"/>
    <w:rsid w:val="00D7733A"/>
    <w:rsid w:val="00D775CD"/>
    <w:rsid w:val="00D778F2"/>
    <w:rsid w:val="00D8005C"/>
    <w:rsid w:val="00D80539"/>
    <w:rsid w:val="00D808EE"/>
    <w:rsid w:val="00D80A72"/>
    <w:rsid w:val="00D80AF5"/>
    <w:rsid w:val="00D81003"/>
    <w:rsid w:val="00D81129"/>
    <w:rsid w:val="00D818D0"/>
    <w:rsid w:val="00D81A7D"/>
    <w:rsid w:val="00D8202C"/>
    <w:rsid w:val="00D82223"/>
    <w:rsid w:val="00D822E5"/>
    <w:rsid w:val="00D82F39"/>
    <w:rsid w:val="00D8378B"/>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235"/>
    <w:rsid w:val="00D90662"/>
    <w:rsid w:val="00D90712"/>
    <w:rsid w:val="00D9076C"/>
    <w:rsid w:val="00D90F3C"/>
    <w:rsid w:val="00D91043"/>
    <w:rsid w:val="00D911ED"/>
    <w:rsid w:val="00D91651"/>
    <w:rsid w:val="00D91686"/>
    <w:rsid w:val="00D9181C"/>
    <w:rsid w:val="00D91841"/>
    <w:rsid w:val="00D918BC"/>
    <w:rsid w:val="00D9191D"/>
    <w:rsid w:val="00D91A49"/>
    <w:rsid w:val="00D91A99"/>
    <w:rsid w:val="00D91D0B"/>
    <w:rsid w:val="00D91D95"/>
    <w:rsid w:val="00D91E5A"/>
    <w:rsid w:val="00D92400"/>
    <w:rsid w:val="00D92454"/>
    <w:rsid w:val="00D9270B"/>
    <w:rsid w:val="00D927AB"/>
    <w:rsid w:val="00D93CB6"/>
    <w:rsid w:val="00D94506"/>
    <w:rsid w:val="00D947E8"/>
    <w:rsid w:val="00D9495C"/>
    <w:rsid w:val="00D94C19"/>
    <w:rsid w:val="00D94FA6"/>
    <w:rsid w:val="00D950AF"/>
    <w:rsid w:val="00D95DD1"/>
    <w:rsid w:val="00D96A20"/>
    <w:rsid w:val="00D96D76"/>
    <w:rsid w:val="00D97020"/>
    <w:rsid w:val="00D9744D"/>
    <w:rsid w:val="00DA123A"/>
    <w:rsid w:val="00DA158B"/>
    <w:rsid w:val="00DA2813"/>
    <w:rsid w:val="00DA2C32"/>
    <w:rsid w:val="00DA2DF2"/>
    <w:rsid w:val="00DA31ED"/>
    <w:rsid w:val="00DA36B3"/>
    <w:rsid w:val="00DA3EA8"/>
    <w:rsid w:val="00DA467B"/>
    <w:rsid w:val="00DA4DDB"/>
    <w:rsid w:val="00DA53B9"/>
    <w:rsid w:val="00DA5F15"/>
    <w:rsid w:val="00DA64C9"/>
    <w:rsid w:val="00DA6B67"/>
    <w:rsid w:val="00DA7371"/>
    <w:rsid w:val="00DA74CE"/>
    <w:rsid w:val="00DA7705"/>
    <w:rsid w:val="00DA7878"/>
    <w:rsid w:val="00DA7D78"/>
    <w:rsid w:val="00DA7F35"/>
    <w:rsid w:val="00DB005E"/>
    <w:rsid w:val="00DB0592"/>
    <w:rsid w:val="00DB0B44"/>
    <w:rsid w:val="00DB17F3"/>
    <w:rsid w:val="00DB1FA4"/>
    <w:rsid w:val="00DB2A05"/>
    <w:rsid w:val="00DB2C57"/>
    <w:rsid w:val="00DB2DF8"/>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66CE"/>
    <w:rsid w:val="00DB6952"/>
    <w:rsid w:val="00DB70EE"/>
    <w:rsid w:val="00DB7503"/>
    <w:rsid w:val="00DB75A4"/>
    <w:rsid w:val="00DB7827"/>
    <w:rsid w:val="00DB7BF9"/>
    <w:rsid w:val="00DC00C7"/>
    <w:rsid w:val="00DC023B"/>
    <w:rsid w:val="00DC0554"/>
    <w:rsid w:val="00DC07EC"/>
    <w:rsid w:val="00DC07F1"/>
    <w:rsid w:val="00DC0D02"/>
    <w:rsid w:val="00DC128B"/>
    <w:rsid w:val="00DC1828"/>
    <w:rsid w:val="00DC1A6F"/>
    <w:rsid w:val="00DC202D"/>
    <w:rsid w:val="00DC2DC5"/>
    <w:rsid w:val="00DC2E98"/>
    <w:rsid w:val="00DC30EA"/>
    <w:rsid w:val="00DC33EC"/>
    <w:rsid w:val="00DC3F9B"/>
    <w:rsid w:val="00DC4D22"/>
    <w:rsid w:val="00DC5B2D"/>
    <w:rsid w:val="00DC6491"/>
    <w:rsid w:val="00DC6E16"/>
    <w:rsid w:val="00DC6F40"/>
    <w:rsid w:val="00DC7045"/>
    <w:rsid w:val="00DC70CD"/>
    <w:rsid w:val="00DC7601"/>
    <w:rsid w:val="00DC7734"/>
    <w:rsid w:val="00DC7E6F"/>
    <w:rsid w:val="00DD00EA"/>
    <w:rsid w:val="00DD1635"/>
    <w:rsid w:val="00DD1BD3"/>
    <w:rsid w:val="00DD1EFE"/>
    <w:rsid w:val="00DD20DE"/>
    <w:rsid w:val="00DD2E4E"/>
    <w:rsid w:val="00DD36AA"/>
    <w:rsid w:val="00DD37D6"/>
    <w:rsid w:val="00DD3B6A"/>
    <w:rsid w:val="00DD405B"/>
    <w:rsid w:val="00DD4974"/>
    <w:rsid w:val="00DD4991"/>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1F8"/>
    <w:rsid w:val="00DE1550"/>
    <w:rsid w:val="00DE176E"/>
    <w:rsid w:val="00DE1EC9"/>
    <w:rsid w:val="00DE23F2"/>
    <w:rsid w:val="00DE24B0"/>
    <w:rsid w:val="00DE25D7"/>
    <w:rsid w:val="00DE28B1"/>
    <w:rsid w:val="00DE38AA"/>
    <w:rsid w:val="00DE4CB8"/>
    <w:rsid w:val="00DE5A1E"/>
    <w:rsid w:val="00DE5E2A"/>
    <w:rsid w:val="00DE5EEE"/>
    <w:rsid w:val="00DE6721"/>
    <w:rsid w:val="00DE6912"/>
    <w:rsid w:val="00DE6F95"/>
    <w:rsid w:val="00DE7140"/>
    <w:rsid w:val="00DE7355"/>
    <w:rsid w:val="00DE77E7"/>
    <w:rsid w:val="00DE7E8B"/>
    <w:rsid w:val="00DF0365"/>
    <w:rsid w:val="00DF04A6"/>
    <w:rsid w:val="00DF0745"/>
    <w:rsid w:val="00DF0790"/>
    <w:rsid w:val="00DF15B6"/>
    <w:rsid w:val="00DF15EC"/>
    <w:rsid w:val="00DF1806"/>
    <w:rsid w:val="00DF1C2D"/>
    <w:rsid w:val="00DF1F17"/>
    <w:rsid w:val="00DF1F85"/>
    <w:rsid w:val="00DF20CE"/>
    <w:rsid w:val="00DF20EA"/>
    <w:rsid w:val="00DF2425"/>
    <w:rsid w:val="00DF2974"/>
    <w:rsid w:val="00DF297F"/>
    <w:rsid w:val="00DF336B"/>
    <w:rsid w:val="00DF3422"/>
    <w:rsid w:val="00DF3E3B"/>
    <w:rsid w:val="00DF45FF"/>
    <w:rsid w:val="00DF4CEB"/>
    <w:rsid w:val="00DF662F"/>
    <w:rsid w:val="00DF73CF"/>
    <w:rsid w:val="00DF73D7"/>
    <w:rsid w:val="00DF79A3"/>
    <w:rsid w:val="00DF7C8C"/>
    <w:rsid w:val="00E00282"/>
    <w:rsid w:val="00E0043E"/>
    <w:rsid w:val="00E00A75"/>
    <w:rsid w:val="00E00C22"/>
    <w:rsid w:val="00E0156F"/>
    <w:rsid w:val="00E01839"/>
    <w:rsid w:val="00E019C8"/>
    <w:rsid w:val="00E01C97"/>
    <w:rsid w:val="00E01CF0"/>
    <w:rsid w:val="00E027C2"/>
    <w:rsid w:val="00E02F4E"/>
    <w:rsid w:val="00E04064"/>
    <w:rsid w:val="00E045EF"/>
    <w:rsid w:val="00E04E2B"/>
    <w:rsid w:val="00E0514D"/>
    <w:rsid w:val="00E052C4"/>
    <w:rsid w:val="00E05CBA"/>
    <w:rsid w:val="00E06166"/>
    <w:rsid w:val="00E0621A"/>
    <w:rsid w:val="00E06561"/>
    <w:rsid w:val="00E06583"/>
    <w:rsid w:val="00E06C17"/>
    <w:rsid w:val="00E07228"/>
    <w:rsid w:val="00E0766D"/>
    <w:rsid w:val="00E10090"/>
    <w:rsid w:val="00E102DD"/>
    <w:rsid w:val="00E10331"/>
    <w:rsid w:val="00E10935"/>
    <w:rsid w:val="00E10B43"/>
    <w:rsid w:val="00E10C1D"/>
    <w:rsid w:val="00E10D76"/>
    <w:rsid w:val="00E11054"/>
    <w:rsid w:val="00E11A6C"/>
    <w:rsid w:val="00E11AE0"/>
    <w:rsid w:val="00E11DC7"/>
    <w:rsid w:val="00E120E2"/>
    <w:rsid w:val="00E12585"/>
    <w:rsid w:val="00E126E5"/>
    <w:rsid w:val="00E13C3D"/>
    <w:rsid w:val="00E13CC6"/>
    <w:rsid w:val="00E1421F"/>
    <w:rsid w:val="00E1436D"/>
    <w:rsid w:val="00E14415"/>
    <w:rsid w:val="00E1449F"/>
    <w:rsid w:val="00E14A2C"/>
    <w:rsid w:val="00E14C3C"/>
    <w:rsid w:val="00E15157"/>
    <w:rsid w:val="00E15680"/>
    <w:rsid w:val="00E15BCB"/>
    <w:rsid w:val="00E1644C"/>
    <w:rsid w:val="00E16730"/>
    <w:rsid w:val="00E16852"/>
    <w:rsid w:val="00E168FA"/>
    <w:rsid w:val="00E16DB7"/>
    <w:rsid w:val="00E177F1"/>
    <w:rsid w:val="00E17D33"/>
    <w:rsid w:val="00E203ED"/>
    <w:rsid w:val="00E20CD7"/>
    <w:rsid w:val="00E20D09"/>
    <w:rsid w:val="00E2106E"/>
    <w:rsid w:val="00E21495"/>
    <w:rsid w:val="00E21ABA"/>
    <w:rsid w:val="00E21AD7"/>
    <w:rsid w:val="00E22183"/>
    <w:rsid w:val="00E22D0F"/>
    <w:rsid w:val="00E23557"/>
    <w:rsid w:val="00E23D4C"/>
    <w:rsid w:val="00E23E7D"/>
    <w:rsid w:val="00E24B81"/>
    <w:rsid w:val="00E24C2A"/>
    <w:rsid w:val="00E24F41"/>
    <w:rsid w:val="00E24FFE"/>
    <w:rsid w:val="00E25186"/>
    <w:rsid w:val="00E251C3"/>
    <w:rsid w:val="00E252E5"/>
    <w:rsid w:val="00E25EB1"/>
    <w:rsid w:val="00E2604C"/>
    <w:rsid w:val="00E260B0"/>
    <w:rsid w:val="00E26382"/>
    <w:rsid w:val="00E264C0"/>
    <w:rsid w:val="00E264F9"/>
    <w:rsid w:val="00E267AA"/>
    <w:rsid w:val="00E26870"/>
    <w:rsid w:val="00E273E5"/>
    <w:rsid w:val="00E278E8"/>
    <w:rsid w:val="00E27FB8"/>
    <w:rsid w:val="00E30064"/>
    <w:rsid w:val="00E301E4"/>
    <w:rsid w:val="00E3078A"/>
    <w:rsid w:val="00E31099"/>
    <w:rsid w:val="00E319E0"/>
    <w:rsid w:val="00E32209"/>
    <w:rsid w:val="00E3224E"/>
    <w:rsid w:val="00E3275C"/>
    <w:rsid w:val="00E327B1"/>
    <w:rsid w:val="00E327B9"/>
    <w:rsid w:val="00E32A5A"/>
    <w:rsid w:val="00E32A5E"/>
    <w:rsid w:val="00E32E66"/>
    <w:rsid w:val="00E3307A"/>
    <w:rsid w:val="00E331E4"/>
    <w:rsid w:val="00E3328F"/>
    <w:rsid w:val="00E33C15"/>
    <w:rsid w:val="00E3413D"/>
    <w:rsid w:val="00E34633"/>
    <w:rsid w:val="00E3470A"/>
    <w:rsid w:val="00E34C64"/>
    <w:rsid w:val="00E34CED"/>
    <w:rsid w:val="00E35CBE"/>
    <w:rsid w:val="00E35DC5"/>
    <w:rsid w:val="00E36239"/>
    <w:rsid w:val="00E36C10"/>
    <w:rsid w:val="00E36EB8"/>
    <w:rsid w:val="00E374E2"/>
    <w:rsid w:val="00E37695"/>
    <w:rsid w:val="00E37830"/>
    <w:rsid w:val="00E37F55"/>
    <w:rsid w:val="00E40453"/>
    <w:rsid w:val="00E4059C"/>
    <w:rsid w:val="00E405F0"/>
    <w:rsid w:val="00E40680"/>
    <w:rsid w:val="00E40C1A"/>
    <w:rsid w:val="00E41014"/>
    <w:rsid w:val="00E41601"/>
    <w:rsid w:val="00E421F2"/>
    <w:rsid w:val="00E428CB"/>
    <w:rsid w:val="00E4423D"/>
    <w:rsid w:val="00E44378"/>
    <w:rsid w:val="00E44657"/>
    <w:rsid w:val="00E449C3"/>
    <w:rsid w:val="00E45020"/>
    <w:rsid w:val="00E450D8"/>
    <w:rsid w:val="00E4528A"/>
    <w:rsid w:val="00E45835"/>
    <w:rsid w:val="00E45C08"/>
    <w:rsid w:val="00E464DF"/>
    <w:rsid w:val="00E46502"/>
    <w:rsid w:val="00E46F6A"/>
    <w:rsid w:val="00E471E6"/>
    <w:rsid w:val="00E473AE"/>
    <w:rsid w:val="00E476E0"/>
    <w:rsid w:val="00E47DDE"/>
    <w:rsid w:val="00E50124"/>
    <w:rsid w:val="00E5134D"/>
    <w:rsid w:val="00E519D8"/>
    <w:rsid w:val="00E51DD3"/>
    <w:rsid w:val="00E5209E"/>
    <w:rsid w:val="00E5241D"/>
    <w:rsid w:val="00E5271E"/>
    <w:rsid w:val="00E52BC4"/>
    <w:rsid w:val="00E53315"/>
    <w:rsid w:val="00E5334A"/>
    <w:rsid w:val="00E536C6"/>
    <w:rsid w:val="00E53B8E"/>
    <w:rsid w:val="00E53BBA"/>
    <w:rsid w:val="00E542AA"/>
    <w:rsid w:val="00E543EE"/>
    <w:rsid w:val="00E548D1"/>
    <w:rsid w:val="00E54D9C"/>
    <w:rsid w:val="00E54DFF"/>
    <w:rsid w:val="00E54E59"/>
    <w:rsid w:val="00E55B02"/>
    <w:rsid w:val="00E55EA3"/>
    <w:rsid w:val="00E55FAC"/>
    <w:rsid w:val="00E56130"/>
    <w:rsid w:val="00E563F0"/>
    <w:rsid w:val="00E56574"/>
    <w:rsid w:val="00E565B4"/>
    <w:rsid w:val="00E56D19"/>
    <w:rsid w:val="00E57012"/>
    <w:rsid w:val="00E5737A"/>
    <w:rsid w:val="00E57481"/>
    <w:rsid w:val="00E576F0"/>
    <w:rsid w:val="00E57704"/>
    <w:rsid w:val="00E5776E"/>
    <w:rsid w:val="00E57954"/>
    <w:rsid w:val="00E57AA2"/>
    <w:rsid w:val="00E57C07"/>
    <w:rsid w:val="00E57D82"/>
    <w:rsid w:val="00E57EE7"/>
    <w:rsid w:val="00E604CA"/>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B6D"/>
    <w:rsid w:val="00E64EDF"/>
    <w:rsid w:val="00E65903"/>
    <w:rsid w:val="00E65958"/>
    <w:rsid w:val="00E65DDD"/>
    <w:rsid w:val="00E65EFB"/>
    <w:rsid w:val="00E6668F"/>
    <w:rsid w:val="00E666DD"/>
    <w:rsid w:val="00E66856"/>
    <w:rsid w:val="00E66B4A"/>
    <w:rsid w:val="00E66CC9"/>
    <w:rsid w:val="00E671F0"/>
    <w:rsid w:val="00E67263"/>
    <w:rsid w:val="00E67B43"/>
    <w:rsid w:val="00E70402"/>
    <w:rsid w:val="00E707EA"/>
    <w:rsid w:val="00E7123B"/>
    <w:rsid w:val="00E712EA"/>
    <w:rsid w:val="00E71574"/>
    <w:rsid w:val="00E71813"/>
    <w:rsid w:val="00E722A5"/>
    <w:rsid w:val="00E72478"/>
    <w:rsid w:val="00E72622"/>
    <w:rsid w:val="00E726BE"/>
    <w:rsid w:val="00E7292C"/>
    <w:rsid w:val="00E73482"/>
    <w:rsid w:val="00E73537"/>
    <w:rsid w:val="00E740DA"/>
    <w:rsid w:val="00E7455D"/>
    <w:rsid w:val="00E745C0"/>
    <w:rsid w:val="00E747EA"/>
    <w:rsid w:val="00E747EE"/>
    <w:rsid w:val="00E74802"/>
    <w:rsid w:val="00E74B06"/>
    <w:rsid w:val="00E74D9F"/>
    <w:rsid w:val="00E74FCB"/>
    <w:rsid w:val="00E756FC"/>
    <w:rsid w:val="00E75AAC"/>
    <w:rsid w:val="00E75D1F"/>
    <w:rsid w:val="00E762C0"/>
    <w:rsid w:val="00E76345"/>
    <w:rsid w:val="00E76625"/>
    <w:rsid w:val="00E76C41"/>
    <w:rsid w:val="00E76D06"/>
    <w:rsid w:val="00E76F7A"/>
    <w:rsid w:val="00E775FB"/>
    <w:rsid w:val="00E77687"/>
    <w:rsid w:val="00E776F4"/>
    <w:rsid w:val="00E77DAA"/>
    <w:rsid w:val="00E80094"/>
    <w:rsid w:val="00E804A3"/>
    <w:rsid w:val="00E80681"/>
    <w:rsid w:val="00E8086C"/>
    <w:rsid w:val="00E80B98"/>
    <w:rsid w:val="00E813F4"/>
    <w:rsid w:val="00E819A8"/>
    <w:rsid w:val="00E819BE"/>
    <w:rsid w:val="00E81A7F"/>
    <w:rsid w:val="00E826D1"/>
    <w:rsid w:val="00E82815"/>
    <w:rsid w:val="00E828CB"/>
    <w:rsid w:val="00E83A5E"/>
    <w:rsid w:val="00E83AFD"/>
    <w:rsid w:val="00E84157"/>
    <w:rsid w:val="00E844C3"/>
    <w:rsid w:val="00E845F8"/>
    <w:rsid w:val="00E846DB"/>
    <w:rsid w:val="00E85157"/>
    <w:rsid w:val="00E8521F"/>
    <w:rsid w:val="00E863AA"/>
    <w:rsid w:val="00E86555"/>
    <w:rsid w:val="00E86608"/>
    <w:rsid w:val="00E8695C"/>
    <w:rsid w:val="00E86FEA"/>
    <w:rsid w:val="00E87559"/>
    <w:rsid w:val="00E87629"/>
    <w:rsid w:val="00E87A01"/>
    <w:rsid w:val="00E87DDD"/>
    <w:rsid w:val="00E9006C"/>
    <w:rsid w:val="00E9023B"/>
    <w:rsid w:val="00E9047A"/>
    <w:rsid w:val="00E90609"/>
    <w:rsid w:val="00E90B5E"/>
    <w:rsid w:val="00E90C89"/>
    <w:rsid w:val="00E913B3"/>
    <w:rsid w:val="00E918B7"/>
    <w:rsid w:val="00E92565"/>
    <w:rsid w:val="00E9260C"/>
    <w:rsid w:val="00E9266C"/>
    <w:rsid w:val="00E932D1"/>
    <w:rsid w:val="00E93C7E"/>
    <w:rsid w:val="00E93EB9"/>
    <w:rsid w:val="00E94084"/>
    <w:rsid w:val="00E94113"/>
    <w:rsid w:val="00E94DAA"/>
    <w:rsid w:val="00E9526E"/>
    <w:rsid w:val="00E96468"/>
    <w:rsid w:val="00E96F68"/>
    <w:rsid w:val="00E970D7"/>
    <w:rsid w:val="00E972EE"/>
    <w:rsid w:val="00E97779"/>
    <w:rsid w:val="00E978CC"/>
    <w:rsid w:val="00E97B84"/>
    <w:rsid w:val="00E97F38"/>
    <w:rsid w:val="00EA0289"/>
    <w:rsid w:val="00EA08EC"/>
    <w:rsid w:val="00EA0FCE"/>
    <w:rsid w:val="00EA18A8"/>
    <w:rsid w:val="00EA1FE5"/>
    <w:rsid w:val="00EA2142"/>
    <w:rsid w:val="00EA2D29"/>
    <w:rsid w:val="00EA3749"/>
    <w:rsid w:val="00EA3CF5"/>
    <w:rsid w:val="00EA3D21"/>
    <w:rsid w:val="00EA48C9"/>
    <w:rsid w:val="00EA4BB6"/>
    <w:rsid w:val="00EA538B"/>
    <w:rsid w:val="00EA59B0"/>
    <w:rsid w:val="00EA6094"/>
    <w:rsid w:val="00EA6224"/>
    <w:rsid w:val="00EA69A5"/>
    <w:rsid w:val="00EA6D93"/>
    <w:rsid w:val="00EA70F7"/>
    <w:rsid w:val="00EA7446"/>
    <w:rsid w:val="00EB004D"/>
    <w:rsid w:val="00EB0146"/>
    <w:rsid w:val="00EB02C1"/>
    <w:rsid w:val="00EB0322"/>
    <w:rsid w:val="00EB05F5"/>
    <w:rsid w:val="00EB0714"/>
    <w:rsid w:val="00EB0ACA"/>
    <w:rsid w:val="00EB126D"/>
    <w:rsid w:val="00EB153B"/>
    <w:rsid w:val="00EB159C"/>
    <w:rsid w:val="00EB17F3"/>
    <w:rsid w:val="00EB1BE8"/>
    <w:rsid w:val="00EB292B"/>
    <w:rsid w:val="00EB2D5C"/>
    <w:rsid w:val="00EB3802"/>
    <w:rsid w:val="00EB3EAF"/>
    <w:rsid w:val="00EB46FA"/>
    <w:rsid w:val="00EB48F6"/>
    <w:rsid w:val="00EB4BEB"/>
    <w:rsid w:val="00EB4D75"/>
    <w:rsid w:val="00EB5287"/>
    <w:rsid w:val="00EB6405"/>
    <w:rsid w:val="00EB6587"/>
    <w:rsid w:val="00EB66AC"/>
    <w:rsid w:val="00EB69B4"/>
    <w:rsid w:val="00EB6A0D"/>
    <w:rsid w:val="00EB7059"/>
    <w:rsid w:val="00EB75D2"/>
    <w:rsid w:val="00EB7932"/>
    <w:rsid w:val="00EB7E38"/>
    <w:rsid w:val="00EC0214"/>
    <w:rsid w:val="00EC05BA"/>
    <w:rsid w:val="00EC0B35"/>
    <w:rsid w:val="00EC0BAA"/>
    <w:rsid w:val="00EC0D64"/>
    <w:rsid w:val="00EC104C"/>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A00"/>
    <w:rsid w:val="00EC7D15"/>
    <w:rsid w:val="00EC7DAA"/>
    <w:rsid w:val="00EC7DB0"/>
    <w:rsid w:val="00EC7EDB"/>
    <w:rsid w:val="00ED024A"/>
    <w:rsid w:val="00ED12B0"/>
    <w:rsid w:val="00ED155B"/>
    <w:rsid w:val="00ED1D36"/>
    <w:rsid w:val="00ED1F83"/>
    <w:rsid w:val="00ED213F"/>
    <w:rsid w:val="00ED2351"/>
    <w:rsid w:val="00ED2540"/>
    <w:rsid w:val="00ED2B9A"/>
    <w:rsid w:val="00ED2DB8"/>
    <w:rsid w:val="00ED379B"/>
    <w:rsid w:val="00ED3A92"/>
    <w:rsid w:val="00ED4060"/>
    <w:rsid w:val="00ED425F"/>
    <w:rsid w:val="00ED45E3"/>
    <w:rsid w:val="00ED4783"/>
    <w:rsid w:val="00ED49B3"/>
    <w:rsid w:val="00ED51DE"/>
    <w:rsid w:val="00ED52CD"/>
    <w:rsid w:val="00ED539C"/>
    <w:rsid w:val="00ED53CB"/>
    <w:rsid w:val="00ED5447"/>
    <w:rsid w:val="00ED54B4"/>
    <w:rsid w:val="00ED555E"/>
    <w:rsid w:val="00ED5993"/>
    <w:rsid w:val="00ED5A24"/>
    <w:rsid w:val="00ED6222"/>
    <w:rsid w:val="00ED689C"/>
    <w:rsid w:val="00ED6D5F"/>
    <w:rsid w:val="00ED6F3C"/>
    <w:rsid w:val="00ED74B3"/>
    <w:rsid w:val="00ED74C3"/>
    <w:rsid w:val="00ED79B4"/>
    <w:rsid w:val="00ED7E44"/>
    <w:rsid w:val="00EE0456"/>
    <w:rsid w:val="00EE08CA"/>
    <w:rsid w:val="00EE0A57"/>
    <w:rsid w:val="00EE0C9C"/>
    <w:rsid w:val="00EE1B4A"/>
    <w:rsid w:val="00EE1C17"/>
    <w:rsid w:val="00EE1D56"/>
    <w:rsid w:val="00EE20B1"/>
    <w:rsid w:val="00EE235A"/>
    <w:rsid w:val="00EE294E"/>
    <w:rsid w:val="00EE35B8"/>
    <w:rsid w:val="00EE3632"/>
    <w:rsid w:val="00EE3EC0"/>
    <w:rsid w:val="00EE427C"/>
    <w:rsid w:val="00EE4392"/>
    <w:rsid w:val="00EE43C1"/>
    <w:rsid w:val="00EE4B3F"/>
    <w:rsid w:val="00EE4DCC"/>
    <w:rsid w:val="00EE5425"/>
    <w:rsid w:val="00EE559E"/>
    <w:rsid w:val="00EE5BB3"/>
    <w:rsid w:val="00EE620B"/>
    <w:rsid w:val="00EE6255"/>
    <w:rsid w:val="00EE6D82"/>
    <w:rsid w:val="00EE715D"/>
    <w:rsid w:val="00EE7273"/>
    <w:rsid w:val="00EE74FC"/>
    <w:rsid w:val="00EE7916"/>
    <w:rsid w:val="00EE793A"/>
    <w:rsid w:val="00EE7A69"/>
    <w:rsid w:val="00EE7C99"/>
    <w:rsid w:val="00EF0A64"/>
    <w:rsid w:val="00EF132F"/>
    <w:rsid w:val="00EF1392"/>
    <w:rsid w:val="00EF18AD"/>
    <w:rsid w:val="00EF19D9"/>
    <w:rsid w:val="00EF2467"/>
    <w:rsid w:val="00EF4844"/>
    <w:rsid w:val="00EF4853"/>
    <w:rsid w:val="00EF4A5A"/>
    <w:rsid w:val="00EF4BC5"/>
    <w:rsid w:val="00EF4E5E"/>
    <w:rsid w:val="00EF5112"/>
    <w:rsid w:val="00EF5132"/>
    <w:rsid w:val="00EF5667"/>
    <w:rsid w:val="00EF5D5A"/>
    <w:rsid w:val="00EF5D5C"/>
    <w:rsid w:val="00EF63BB"/>
    <w:rsid w:val="00EF6662"/>
    <w:rsid w:val="00EF6786"/>
    <w:rsid w:val="00EF6D04"/>
    <w:rsid w:val="00EF6D93"/>
    <w:rsid w:val="00EF6EEB"/>
    <w:rsid w:val="00EF760F"/>
    <w:rsid w:val="00EF7671"/>
    <w:rsid w:val="00EF77F0"/>
    <w:rsid w:val="00EF7E34"/>
    <w:rsid w:val="00F00002"/>
    <w:rsid w:val="00F001EC"/>
    <w:rsid w:val="00F003C1"/>
    <w:rsid w:val="00F00918"/>
    <w:rsid w:val="00F009C1"/>
    <w:rsid w:val="00F00EA8"/>
    <w:rsid w:val="00F01186"/>
    <w:rsid w:val="00F011DB"/>
    <w:rsid w:val="00F01239"/>
    <w:rsid w:val="00F01A4D"/>
    <w:rsid w:val="00F01EB1"/>
    <w:rsid w:val="00F021AC"/>
    <w:rsid w:val="00F0223F"/>
    <w:rsid w:val="00F029BC"/>
    <w:rsid w:val="00F02BBD"/>
    <w:rsid w:val="00F02C66"/>
    <w:rsid w:val="00F0307D"/>
    <w:rsid w:val="00F031F5"/>
    <w:rsid w:val="00F036A3"/>
    <w:rsid w:val="00F0373C"/>
    <w:rsid w:val="00F03B42"/>
    <w:rsid w:val="00F04921"/>
    <w:rsid w:val="00F04E78"/>
    <w:rsid w:val="00F04FEF"/>
    <w:rsid w:val="00F05361"/>
    <w:rsid w:val="00F05D9F"/>
    <w:rsid w:val="00F0636F"/>
    <w:rsid w:val="00F06854"/>
    <w:rsid w:val="00F07604"/>
    <w:rsid w:val="00F07613"/>
    <w:rsid w:val="00F0767F"/>
    <w:rsid w:val="00F0785A"/>
    <w:rsid w:val="00F078EC"/>
    <w:rsid w:val="00F07B9B"/>
    <w:rsid w:val="00F07C18"/>
    <w:rsid w:val="00F10BDE"/>
    <w:rsid w:val="00F11356"/>
    <w:rsid w:val="00F116D0"/>
    <w:rsid w:val="00F11778"/>
    <w:rsid w:val="00F121D1"/>
    <w:rsid w:val="00F12629"/>
    <w:rsid w:val="00F12B69"/>
    <w:rsid w:val="00F1308B"/>
    <w:rsid w:val="00F134C6"/>
    <w:rsid w:val="00F1354C"/>
    <w:rsid w:val="00F143DE"/>
    <w:rsid w:val="00F1440B"/>
    <w:rsid w:val="00F14777"/>
    <w:rsid w:val="00F147E6"/>
    <w:rsid w:val="00F14FD5"/>
    <w:rsid w:val="00F152D3"/>
    <w:rsid w:val="00F15440"/>
    <w:rsid w:val="00F15E67"/>
    <w:rsid w:val="00F15EFD"/>
    <w:rsid w:val="00F15EFE"/>
    <w:rsid w:val="00F164DE"/>
    <w:rsid w:val="00F16634"/>
    <w:rsid w:val="00F16853"/>
    <w:rsid w:val="00F171F9"/>
    <w:rsid w:val="00F1730F"/>
    <w:rsid w:val="00F178D2"/>
    <w:rsid w:val="00F17A79"/>
    <w:rsid w:val="00F17C66"/>
    <w:rsid w:val="00F202DD"/>
    <w:rsid w:val="00F209F8"/>
    <w:rsid w:val="00F20C34"/>
    <w:rsid w:val="00F21287"/>
    <w:rsid w:val="00F2147E"/>
    <w:rsid w:val="00F21609"/>
    <w:rsid w:val="00F21A45"/>
    <w:rsid w:val="00F21B53"/>
    <w:rsid w:val="00F21EB0"/>
    <w:rsid w:val="00F2201B"/>
    <w:rsid w:val="00F22343"/>
    <w:rsid w:val="00F22404"/>
    <w:rsid w:val="00F226B6"/>
    <w:rsid w:val="00F22D6E"/>
    <w:rsid w:val="00F236D5"/>
    <w:rsid w:val="00F238EF"/>
    <w:rsid w:val="00F23EBE"/>
    <w:rsid w:val="00F248C7"/>
    <w:rsid w:val="00F24B3B"/>
    <w:rsid w:val="00F24B8E"/>
    <w:rsid w:val="00F24BDC"/>
    <w:rsid w:val="00F24D6A"/>
    <w:rsid w:val="00F24FFD"/>
    <w:rsid w:val="00F25050"/>
    <w:rsid w:val="00F2574A"/>
    <w:rsid w:val="00F25763"/>
    <w:rsid w:val="00F2594A"/>
    <w:rsid w:val="00F25CA3"/>
    <w:rsid w:val="00F25F64"/>
    <w:rsid w:val="00F25FC7"/>
    <w:rsid w:val="00F2630A"/>
    <w:rsid w:val="00F263AD"/>
    <w:rsid w:val="00F264B8"/>
    <w:rsid w:val="00F26A5A"/>
    <w:rsid w:val="00F26D06"/>
    <w:rsid w:val="00F26D38"/>
    <w:rsid w:val="00F26E72"/>
    <w:rsid w:val="00F27220"/>
    <w:rsid w:val="00F27536"/>
    <w:rsid w:val="00F27B76"/>
    <w:rsid w:val="00F3040E"/>
    <w:rsid w:val="00F304A8"/>
    <w:rsid w:val="00F309CA"/>
    <w:rsid w:val="00F30B91"/>
    <w:rsid w:val="00F30F5D"/>
    <w:rsid w:val="00F31206"/>
    <w:rsid w:val="00F31532"/>
    <w:rsid w:val="00F3173A"/>
    <w:rsid w:val="00F31861"/>
    <w:rsid w:val="00F32088"/>
    <w:rsid w:val="00F32913"/>
    <w:rsid w:val="00F32A66"/>
    <w:rsid w:val="00F3324D"/>
    <w:rsid w:val="00F335D3"/>
    <w:rsid w:val="00F33E13"/>
    <w:rsid w:val="00F34210"/>
    <w:rsid w:val="00F34F66"/>
    <w:rsid w:val="00F350C6"/>
    <w:rsid w:val="00F351F7"/>
    <w:rsid w:val="00F3525E"/>
    <w:rsid w:val="00F35885"/>
    <w:rsid w:val="00F36019"/>
    <w:rsid w:val="00F36605"/>
    <w:rsid w:val="00F366FB"/>
    <w:rsid w:val="00F36C9F"/>
    <w:rsid w:val="00F375F4"/>
    <w:rsid w:val="00F378A6"/>
    <w:rsid w:val="00F3796D"/>
    <w:rsid w:val="00F40202"/>
    <w:rsid w:val="00F40BE9"/>
    <w:rsid w:val="00F411C1"/>
    <w:rsid w:val="00F4123C"/>
    <w:rsid w:val="00F4131E"/>
    <w:rsid w:val="00F4135A"/>
    <w:rsid w:val="00F42164"/>
    <w:rsid w:val="00F421E6"/>
    <w:rsid w:val="00F42AC0"/>
    <w:rsid w:val="00F43A56"/>
    <w:rsid w:val="00F43DD0"/>
    <w:rsid w:val="00F44203"/>
    <w:rsid w:val="00F445FF"/>
    <w:rsid w:val="00F4463B"/>
    <w:rsid w:val="00F451D4"/>
    <w:rsid w:val="00F4541A"/>
    <w:rsid w:val="00F45BD4"/>
    <w:rsid w:val="00F45EDF"/>
    <w:rsid w:val="00F460F4"/>
    <w:rsid w:val="00F46184"/>
    <w:rsid w:val="00F4625D"/>
    <w:rsid w:val="00F462CF"/>
    <w:rsid w:val="00F4638F"/>
    <w:rsid w:val="00F466B3"/>
    <w:rsid w:val="00F467AF"/>
    <w:rsid w:val="00F468E9"/>
    <w:rsid w:val="00F470D0"/>
    <w:rsid w:val="00F473D8"/>
    <w:rsid w:val="00F47643"/>
    <w:rsid w:val="00F47788"/>
    <w:rsid w:val="00F47849"/>
    <w:rsid w:val="00F478EB"/>
    <w:rsid w:val="00F47DD5"/>
    <w:rsid w:val="00F50783"/>
    <w:rsid w:val="00F50BA3"/>
    <w:rsid w:val="00F51106"/>
    <w:rsid w:val="00F514E3"/>
    <w:rsid w:val="00F51A14"/>
    <w:rsid w:val="00F521AA"/>
    <w:rsid w:val="00F52501"/>
    <w:rsid w:val="00F52838"/>
    <w:rsid w:val="00F531C9"/>
    <w:rsid w:val="00F53443"/>
    <w:rsid w:val="00F53B78"/>
    <w:rsid w:val="00F53BB4"/>
    <w:rsid w:val="00F54251"/>
    <w:rsid w:val="00F5455E"/>
    <w:rsid w:val="00F547A4"/>
    <w:rsid w:val="00F54897"/>
    <w:rsid w:val="00F548B6"/>
    <w:rsid w:val="00F54D38"/>
    <w:rsid w:val="00F55082"/>
    <w:rsid w:val="00F553BF"/>
    <w:rsid w:val="00F5548E"/>
    <w:rsid w:val="00F558E6"/>
    <w:rsid w:val="00F55EAA"/>
    <w:rsid w:val="00F5629A"/>
    <w:rsid w:val="00F562A2"/>
    <w:rsid w:val="00F56A10"/>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D25"/>
    <w:rsid w:val="00F62FEE"/>
    <w:rsid w:val="00F630ED"/>
    <w:rsid w:val="00F6367D"/>
    <w:rsid w:val="00F6436A"/>
    <w:rsid w:val="00F6480B"/>
    <w:rsid w:val="00F64A00"/>
    <w:rsid w:val="00F64B26"/>
    <w:rsid w:val="00F64BC9"/>
    <w:rsid w:val="00F651FB"/>
    <w:rsid w:val="00F655F5"/>
    <w:rsid w:val="00F65886"/>
    <w:rsid w:val="00F65A67"/>
    <w:rsid w:val="00F65BDC"/>
    <w:rsid w:val="00F66042"/>
    <w:rsid w:val="00F663E4"/>
    <w:rsid w:val="00F66822"/>
    <w:rsid w:val="00F66A6E"/>
    <w:rsid w:val="00F66D44"/>
    <w:rsid w:val="00F67329"/>
    <w:rsid w:val="00F674DA"/>
    <w:rsid w:val="00F67D3F"/>
    <w:rsid w:val="00F67EE8"/>
    <w:rsid w:val="00F7002C"/>
    <w:rsid w:val="00F700D8"/>
    <w:rsid w:val="00F708F1"/>
    <w:rsid w:val="00F70FDD"/>
    <w:rsid w:val="00F71320"/>
    <w:rsid w:val="00F715E5"/>
    <w:rsid w:val="00F722BE"/>
    <w:rsid w:val="00F72844"/>
    <w:rsid w:val="00F729DC"/>
    <w:rsid w:val="00F729F1"/>
    <w:rsid w:val="00F72B73"/>
    <w:rsid w:val="00F731D7"/>
    <w:rsid w:val="00F73542"/>
    <w:rsid w:val="00F73702"/>
    <w:rsid w:val="00F73BCF"/>
    <w:rsid w:val="00F74166"/>
    <w:rsid w:val="00F752A2"/>
    <w:rsid w:val="00F75776"/>
    <w:rsid w:val="00F75AC3"/>
    <w:rsid w:val="00F75ADB"/>
    <w:rsid w:val="00F75EF5"/>
    <w:rsid w:val="00F7602D"/>
    <w:rsid w:val="00F76363"/>
    <w:rsid w:val="00F7685D"/>
    <w:rsid w:val="00F76A3F"/>
    <w:rsid w:val="00F76C6C"/>
    <w:rsid w:val="00F76D4A"/>
    <w:rsid w:val="00F77119"/>
    <w:rsid w:val="00F77E63"/>
    <w:rsid w:val="00F8037E"/>
    <w:rsid w:val="00F803B7"/>
    <w:rsid w:val="00F806C9"/>
    <w:rsid w:val="00F807F7"/>
    <w:rsid w:val="00F8099F"/>
    <w:rsid w:val="00F816F6"/>
    <w:rsid w:val="00F82D8A"/>
    <w:rsid w:val="00F8324B"/>
    <w:rsid w:val="00F838A8"/>
    <w:rsid w:val="00F83A8A"/>
    <w:rsid w:val="00F84A5A"/>
    <w:rsid w:val="00F85A9D"/>
    <w:rsid w:val="00F85B83"/>
    <w:rsid w:val="00F860D8"/>
    <w:rsid w:val="00F86914"/>
    <w:rsid w:val="00F86B73"/>
    <w:rsid w:val="00F870BF"/>
    <w:rsid w:val="00F8754B"/>
    <w:rsid w:val="00F9012C"/>
    <w:rsid w:val="00F90377"/>
    <w:rsid w:val="00F90ADE"/>
    <w:rsid w:val="00F90C3C"/>
    <w:rsid w:val="00F9176D"/>
    <w:rsid w:val="00F91D3B"/>
    <w:rsid w:val="00F91D8E"/>
    <w:rsid w:val="00F91FB6"/>
    <w:rsid w:val="00F923B9"/>
    <w:rsid w:val="00F927E3"/>
    <w:rsid w:val="00F92837"/>
    <w:rsid w:val="00F92F2C"/>
    <w:rsid w:val="00F934BB"/>
    <w:rsid w:val="00F9364D"/>
    <w:rsid w:val="00F939B6"/>
    <w:rsid w:val="00F93EC8"/>
    <w:rsid w:val="00F93FFB"/>
    <w:rsid w:val="00F9440D"/>
    <w:rsid w:val="00F94A68"/>
    <w:rsid w:val="00F94BC8"/>
    <w:rsid w:val="00F94C99"/>
    <w:rsid w:val="00F96019"/>
    <w:rsid w:val="00F9640C"/>
    <w:rsid w:val="00F9667A"/>
    <w:rsid w:val="00F9727D"/>
    <w:rsid w:val="00F97B70"/>
    <w:rsid w:val="00F97BCC"/>
    <w:rsid w:val="00FA057A"/>
    <w:rsid w:val="00FA0665"/>
    <w:rsid w:val="00FA0A8E"/>
    <w:rsid w:val="00FA189A"/>
    <w:rsid w:val="00FA19D6"/>
    <w:rsid w:val="00FA1A50"/>
    <w:rsid w:val="00FA1D9A"/>
    <w:rsid w:val="00FA1F76"/>
    <w:rsid w:val="00FA26F8"/>
    <w:rsid w:val="00FA276F"/>
    <w:rsid w:val="00FA3509"/>
    <w:rsid w:val="00FA357D"/>
    <w:rsid w:val="00FA3AE6"/>
    <w:rsid w:val="00FA3E60"/>
    <w:rsid w:val="00FA3EC1"/>
    <w:rsid w:val="00FA40E6"/>
    <w:rsid w:val="00FA4628"/>
    <w:rsid w:val="00FA49E0"/>
    <w:rsid w:val="00FA5819"/>
    <w:rsid w:val="00FA5C9E"/>
    <w:rsid w:val="00FA5D5F"/>
    <w:rsid w:val="00FA66C6"/>
    <w:rsid w:val="00FA6F3D"/>
    <w:rsid w:val="00FA77FB"/>
    <w:rsid w:val="00FA7D36"/>
    <w:rsid w:val="00FB016A"/>
    <w:rsid w:val="00FB0405"/>
    <w:rsid w:val="00FB055C"/>
    <w:rsid w:val="00FB0D77"/>
    <w:rsid w:val="00FB0D91"/>
    <w:rsid w:val="00FB0E86"/>
    <w:rsid w:val="00FB0F89"/>
    <w:rsid w:val="00FB172B"/>
    <w:rsid w:val="00FB1948"/>
    <w:rsid w:val="00FB274B"/>
    <w:rsid w:val="00FB36C2"/>
    <w:rsid w:val="00FB39F2"/>
    <w:rsid w:val="00FB3FE2"/>
    <w:rsid w:val="00FB3FEE"/>
    <w:rsid w:val="00FB5967"/>
    <w:rsid w:val="00FB5AFD"/>
    <w:rsid w:val="00FB5B5B"/>
    <w:rsid w:val="00FB5D5B"/>
    <w:rsid w:val="00FB6740"/>
    <w:rsid w:val="00FB6CE2"/>
    <w:rsid w:val="00FB77CF"/>
    <w:rsid w:val="00FB7A8F"/>
    <w:rsid w:val="00FB7ACB"/>
    <w:rsid w:val="00FB7DFA"/>
    <w:rsid w:val="00FB7F03"/>
    <w:rsid w:val="00FC01EC"/>
    <w:rsid w:val="00FC051A"/>
    <w:rsid w:val="00FC0E47"/>
    <w:rsid w:val="00FC1402"/>
    <w:rsid w:val="00FC15F6"/>
    <w:rsid w:val="00FC194F"/>
    <w:rsid w:val="00FC1B18"/>
    <w:rsid w:val="00FC2295"/>
    <w:rsid w:val="00FC29D5"/>
    <w:rsid w:val="00FC2ADD"/>
    <w:rsid w:val="00FC2AF3"/>
    <w:rsid w:val="00FC2DCC"/>
    <w:rsid w:val="00FC35FA"/>
    <w:rsid w:val="00FC370E"/>
    <w:rsid w:val="00FC3D15"/>
    <w:rsid w:val="00FC3D4C"/>
    <w:rsid w:val="00FC40E0"/>
    <w:rsid w:val="00FC4846"/>
    <w:rsid w:val="00FC5486"/>
    <w:rsid w:val="00FC58D3"/>
    <w:rsid w:val="00FC6222"/>
    <w:rsid w:val="00FC6EC0"/>
    <w:rsid w:val="00FC7770"/>
    <w:rsid w:val="00FC77C7"/>
    <w:rsid w:val="00FC7F65"/>
    <w:rsid w:val="00FD0D3F"/>
    <w:rsid w:val="00FD0F5C"/>
    <w:rsid w:val="00FD1298"/>
    <w:rsid w:val="00FD1CCA"/>
    <w:rsid w:val="00FD277B"/>
    <w:rsid w:val="00FD2CBA"/>
    <w:rsid w:val="00FD362E"/>
    <w:rsid w:val="00FD3816"/>
    <w:rsid w:val="00FD3AEE"/>
    <w:rsid w:val="00FD4281"/>
    <w:rsid w:val="00FD510F"/>
    <w:rsid w:val="00FD56F6"/>
    <w:rsid w:val="00FD5DF2"/>
    <w:rsid w:val="00FD5E28"/>
    <w:rsid w:val="00FD5E9E"/>
    <w:rsid w:val="00FD675A"/>
    <w:rsid w:val="00FD6EA3"/>
    <w:rsid w:val="00FD7514"/>
    <w:rsid w:val="00FD77A4"/>
    <w:rsid w:val="00FE03DA"/>
    <w:rsid w:val="00FE0897"/>
    <w:rsid w:val="00FE0940"/>
    <w:rsid w:val="00FE0989"/>
    <w:rsid w:val="00FE0E36"/>
    <w:rsid w:val="00FE102E"/>
    <w:rsid w:val="00FE1A57"/>
    <w:rsid w:val="00FE1FB4"/>
    <w:rsid w:val="00FE23B0"/>
    <w:rsid w:val="00FE24A9"/>
    <w:rsid w:val="00FE28C4"/>
    <w:rsid w:val="00FE34DC"/>
    <w:rsid w:val="00FE354B"/>
    <w:rsid w:val="00FE371A"/>
    <w:rsid w:val="00FE37E9"/>
    <w:rsid w:val="00FE3D93"/>
    <w:rsid w:val="00FE4329"/>
    <w:rsid w:val="00FE44CB"/>
    <w:rsid w:val="00FE45BD"/>
    <w:rsid w:val="00FE4D06"/>
    <w:rsid w:val="00FE574B"/>
    <w:rsid w:val="00FE6632"/>
    <w:rsid w:val="00FE66ED"/>
    <w:rsid w:val="00FE68E7"/>
    <w:rsid w:val="00FE6C64"/>
    <w:rsid w:val="00FE6F3D"/>
    <w:rsid w:val="00FE76FA"/>
    <w:rsid w:val="00FE77D3"/>
    <w:rsid w:val="00FF02F7"/>
    <w:rsid w:val="00FF062D"/>
    <w:rsid w:val="00FF0D5B"/>
    <w:rsid w:val="00FF1329"/>
    <w:rsid w:val="00FF1643"/>
    <w:rsid w:val="00FF1B15"/>
    <w:rsid w:val="00FF1CE1"/>
    <w:rsid w:val="00FF1E0B"/>
    <w:rsid w:val="00FF2021"/>
    <w:rsid w:val="00FF24A7"/>
    <w:rsid w:val="00FF2948"/>
    <w:rsid w:val="00FF2A25"/>
    <w:rsid w:val="00FF2A98"/>
    <w:rsid w:val="00FF2C48"/>
    <w:rsid w:val="00FF2F44"/>
    <w:rsid w:val="00FF314A"/>
    <w:rsid w:val="00FF34CD"/>
    <w:rsid w:val="00FF352D"/>
    <w:rsid w:val="00FF360F"/>
    <w:rsid w:val="00FF3965"/>
    <w:rsid w:val="00FF396F"/>
    <w:rsid w:val="00FF3AA1"/>
    <w:rsid w:val="00FF4397"/>
    <w:rsid w:val="00FF463E"/>
    <w:rsid w:val="00FF4BAF"/>
    <w:rsid w:val="00FF4ED3"/>
    <w:rsid w:val="00FF50D5"/>
    <w:rsid w:val="00FF537D"/>
    <w:rsid w:val="00FF64E9"/>
    <w:rsid w:val="00FF6C04"/>
    <w:rsid w:val="00FF6E8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5AAD6"/>
  <w15:docId w15:val="{958419AC-E1D3-4081-855A-93506C9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644890875">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3\December\&#1050;&#1060;&#1055;-12-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3\December\&#1050;&#1060;&#1055;-12-2023.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6721062992125986"/>
          <c:y val="8.3333333333333329E-2"/>
          <c:w val="0.58851159230096239"/>
          <c:h val="0.83309419655876349"/>
        </c:manualLayout>
      </c:layout>
      <c:bar3DChart>
        <c:barDir val="bar"/>
        <c:grouping val="clustered"/>
        <c:varyColors val="0"/>
        <c:ser>
          <c:idx val="0"/>
          <c:order val="0"/>
          <c:tx>
            <c:strRef>
              <c:f>'КФП_ГРАФИКИ ПРИХОДИ И РАЗХОДИ'!$B$22</c:f>
              <c:strCache>
                <c:ptCount val="1"/>
                <c:pt idx="0">
                  <c:v>2022 г.</c:v>
                </c:pt>
              </c:strCache>
            </c:strRef>
          </c:tx>
          <c:spPr>
            <a:solidFill>
              <a:schemeClr val="accent2">
                <a:lumMod val="50000"/>
              </a:schemeClr>
            </a:solidFill>
          </c:spPr>
          <c:invertIfNegative val="0"/>
          <c:dLbls>
            <c:dLbl>
              <c:idx val="5"/>
              <c:layout>
                <c:manualLayout>
                  <c:x val="-3.888888888888889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A11-4910-B39B-E187486D72ED}"/>
                </c:ext>
              </c:extLst>
            </c:dLbl>
            <c:spPr>
              <a:noFill/>
              <a:ln>
                <a:noFill/>
              </a:ln>
              <a:effectLst/>
            </c:spPr>
            <c:txPr>
              <a:bodyPr/>
              <a:lstStyle/>
              <a:p>
                <a:pPr>
                  <a:defRPr sz="80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'КФП_ГРАФИКИ ПРИХОДИ И РАЗХОДИ'!$A$23:$A$28</c:f>
              <c:strCache>
                <c:ptCount val="6"/>
                <c:pt idx="0">
                  <c:v>Неданъчни приходи и помощи</c:v>
                </c:pt>
                <c:pt idx="1">
                  <c:v>Приходи от соц. и здр. вноски</c:v>
                </c:pt>
                <c:pt idx="2">
                  <c:v>Косвени данъци</c:v>
                </c:pt>
                <c:pt idx="3">
                  <c:v>Преки данъци*</c:v>
                </c:pt>
                <c:pt idx="4">
                  <c:v>Данъчни приходи</c:v>
                </c:pt>
                <c:pt idx="5">
                  <c:v>Общо приходи и помощи</c:v>
                </c:pt>
              </c:strCache>
            </c:strRef>
          </c:cat>
          <c:val>
            <c:numRef>
              <c:f>'КФП_ГРАФИКИ ПРИХОДИ И РАЗХОДИ'!$B$23:$B$28</c:f>
              <c:numCache>
                <c:formatCode>0.0%</c:formatCode>
                <c:ptCount val="6"/>
                <c:pt idx="0">
                  <c:v>0.10729910933381775</c:v>
                </c:pt>
                <c:pt idx="1">
                  <c:v>8.1864842933074083E-2</c:v>
                </c:pt>
                <c:pt idx="2">
                  <c:v>0.1283693965452718</c:v>
                </c:pt>
                <c:pt idx="3">
                  <c:v>6.8552797878940627E-2</c:v>
                </c:pt>
                <c:pt idx="4">
                  <c:v>0.27878703735728649</c:v>
                </c:pt>
                <c:pt idx="5">
                  <c:v>0.38608614669110425</c:v>
                </c:pt>
              </c:numCache>
            </c:numRef>
          </c:val>
          <c:extLst>
            <c:ext xmlns:c16="http://schemas.microsoft.com/office/drawing/2014/chart" uri="{C3380CC4-5D6E-409C-BE32-E72D297353CC}">
              <c16:uniqueId val="{00000001-CA11-4910-B39B-E187486D72ED}"/>
            </c:ext>
          </c:extLst>
        </c:ser>
        <c:ser>
          <c:idx val="1"/>
          <c:order val="1"/>
          <c:tx>
            <c:strRef>
              <c:f>'КФП_ГРАФИКИ ПРИХОДИ И РАЗХОДИ'!$C$22</c:f>
              <c:strCache>
                <c:ptCount val="1"/>
                <c:pt idx="0">
                  <c:v>2023 г.</c:v>
                </c:pt>
              </c:strCache>
            </c:strRef>
          </c:tx>
          <c:spPr>
            <a:pattFill prst="pct80">
              <a:fgClr>
                <a:srgbClr val="00B0F0"/>
              </a:fgClr>
              <a:bgClr>
                <a:schemeClr val="bg1"/>
              </a:bgClr>
            </a:pattFill>
          </c:spPr>
          <c:invertIfNegative val="0"/>
          <c:dLbls>
            <c:dLbl>
              <c:idx val="0"/>
              <c:layout>
                <c:manualLayout>
                  <c:x val="2.7777777777777779E-3"/>
                  <c:y val="-1.38888888888888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A11-4910-B39B-E187486D72ED}"/>
                </c:ext>
              </c:extLst>
            </c:dLbl>
            <c:dLbl>
              <c:idx val="1"/>
              <c:layout>
                <c:manualLayout>
                  <c:x val="2.7777777777777779E-3"/>
                  <c:y val="-4.629629629629544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A11-4910-B39B-E187486D72ED}"/>
                </c:ext>
              </c:extLst>
            </c:dLbl>
            <c:dLbl>
              <c:idx val="2"/>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A11-4910-B39B-E187486D72ED}"/>
                </c:ext>
              </c:extLst>
            </c:dLbl>
            <c:dLbl>
              <c:idx val="3"/>
              <c:layout>
                <c:manualLayout>
                  <c:x val="8.3333333333333332E-3"/>
                  <c:y val="-1.8518518518518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A11-4910-B39B-E187486D72ED}"/>
                </c:ext>
              </c:extLst>
            </c:dLbl>
            <c:dLbl>
              <c:idx val="4"/>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A11-4910-B39B-E187486D72ED}"/>
                </c:ext>
              </c:extLst>
            </c:dLbl>
            <c:dLbl>
              <c:idx val="5"/>
              <c:layout>
                <c:manualLayout>
                  <c:x val="-8.3333333333334356E-3"/>
                  <c:y val="-3.70370370370370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A11-4910-B39B-E187486D72ED}"/>
                </c:ext>
              </c:extLst>
            </c:dLbl>
            <c:spPr>
              <a:noFill/>
              <a:ln>
                <a:noFill/>
              </a:ln>
              <a:effectLst/>
            </c:spPr>
            <c:txPr>
              <a:bodyPr/>
              <a:lstStyle/>
              <a:p>
                <a:pPr>
                  <a:defRPr sz="800" baseline="0">
                    <a:latin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РАЗХОДИ'!$A$23:$A$28</c:f>
              <c:strCache>
                <c:ptCount val="6"/>
                <c:pt idx="0">
                  <c:v>Неданъчни приходи и помощи</c:v>
                </c:pt>
                <c:pt idx="1">
                  <c:v>Приходи от соц. и здр. вноски</c:v>
                </c:pt>
                <c:pt idx="2">
                  <c:v>Косвени данъци</c:v>
                </c:pt>
                <c:pt idx="3">
                  <c:v>Преки данъци*</c:v>
                </c:pt>
                <c:pt idx="4">
                  <c:v>Данъчни приходи</c:v>
                </c:pt>
                <c:pt idx="5">
                  <c:v>Общо приходи и помощи</c:v>
                </c:pt>
              </c:strCache>
            </c:strRef>
          </c:cat>
          <c:val>
            <c:numRef>
              <c:f>'КФП_ГРАФИКИ ПРИХОДИ И РАЗХОДИ'!$C$23:$C$28</c:f>
              <c:numCache>
                <c:formatCode>0.0%</c:formatCode>
                <c:ptCount val="6"/>
                <c:pt idx="0">
                  <c:v>7.7066565785417609E-2</c:v>
                </c:pt>
                <c:pt idx="1">
                  <c:v>8.17413012631098E-2</c:v>
                </c:pt>
                <c:pt idx="2">
                  <c:v>0.11902711411347039</c:v>
                </c:pt>
                <c:pt idx="3">
                  <c:v>7.2919652500725823E-2</c:v>
                </c:pt>
                <c:pt idx="4">
                  <c:v>0.27368806787730598</c:v>
                </c:pt>
                <c:pt idx="5">
                  <c:v>0.35075463366272358</c:v>
                </c:pt>
              </c:numCache>
            </c:numRef>
          </c:val>
          <c:extLst>
            <c:ext xmlns:c16="http://schemas.microsoft.com/office/drawing/2014/chart" uri="{C3380CC4-5D6E-409C-BE32-E72D297353CC}">
              <c16:uniqueId val="{00000008-CA11-4910-B39B-E187486D72ED}"/>
            </c:ext>
          </c:extLst>
        </c:ser>
        <c:dLbls>
          <c:showLegendKey val="0"/>
          <c:showVal val="0"/>
          <c:showCatName val="0"/>
          <c:showSerName val="0"/>
          <c:showPercent val="0"/>
          <c:showBubbleSize val="0"/>
        </c:dLbls>
        <c:gapWidth val="150"/>
        <c:shape val="cylinder"/>
        <c:axId val="145796096"/>
        <c:axId val="145797888"/>
        <c:axId val="0"/>
      </c:bar3DChart>
      <c:catAx>
        <c:axId val="145796096"/>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bg-BG"/>
          </a:p>
        </c:txPr>
        <c:crossAx val="145797888"/>
        <c:crossesAt val="0"/>
        <c:auto val="1"/>
        <c:lblAlgn val="ctr"/>
        <c:lblOffset val="100"/>
        <c:noMultiLvlLbl val="0"/>
      </c:catAx>
      <c:valAx>
        <c:axId val="145797888"/>
        <c:scaling>
          <c:orientation val="minMax"/>
          <c:max val="0.4"/>
        </c:scaling>
        <c:delete val="0"/>
        <c:axPos val="b"/>
        <c:majorGridlines>
          <c:spPr>
            <a:ln>
              <a:noFill/>
            </a:ln>
          </c:spPr>
        </c:majorGridlines>
        <c:numFmt formatCode="0.0%" sourceLinked="1"/>
        <c:majorTickMark val="out"/>
        <c:minorTickMark val="none"/>
        <c:tickLblPos val="nextTo"/>
        <c:txPr>
          <a:bodyPr/>
          <a:lstStyle/>
          <a:p>
            <a:pPr>
              <a:defRPr sz="800"/>
            </a:pPr>
            <a:endParaRPr lang="bg-BG"/>
          </a:p>
        </c:txPr>
        <c:crossAx val="145796096"/>
        <c:crosses val="autoZero"/>
        <c:crossBetween val="between"/>
      </c:valAx>
    </c:plotArea>
    <c:legend>
      <c:legendPos val="r"/>
      <c:layout>
        <c:manualLayout>
          <c:xMode val="edge"/>
          <c:yMode val="edge"/>
          <c:x val="1.7940069991251067E-2"/>
          <c:y val="0.90798556430446209"/>
          <c:w val="0.19039326334208226"/>
          <c:h val="9.1436278798483511E-2"/>
        </c:manualLayout>
      </c:layout>
      <c:overlay val="0"/>
      <c:txPr>
        <a:bodyPr/>
        <a:lstStyle/>
        <a:p>
          <a:pPr>
            <a:defRPr sz="800"/>
          </a:pPr>
          <a:endParaRPr lang="bg-BG"/>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9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54413584044182"/>
          <c:y val="9.409110151553636E-2"/>
          <c:w val="0.6045115288927646"/>
          <c:h val="0.83055739000366891"/>
        </c:manualLayout>
      </c:layout>
      <c:bar3DChart>
        <c:barDir val="bar"/>
        <c:grouping val="clustered"/>
        <c:varyColors val="0"/>
        <c:ser>
          <c:idx val="0"/>
          <c:order val="0"/>
          <c:tx>
            <c:strRef>
              <c:f>'КФП_ГРАФИКИ ПРИХОДИ И РАЗХОДИ'!$B$46</c:f>
              <c:strCache>
                <c:ptCount val="1"/>
                <c:pt idx="0">
                  <c:v>2022 г.</c:v>
                </c:pt>
              </c:strCache>
            </c:strRef>
          </c:tx>
          <c:spPr>
            <a:solidFill>
              <a:schemeClr val="accent2">
                <a:lumMod val="50000"/>
              </a:schemeClr>
            </a:solidFill>
          </c:spPr>
          <c:invertIfNegative val="0"/>
          <c:dLbls>
            <c:dLbl>
              <c:idx val="0"/>
              <c:layout>
                <c:manualLayout>
                  <c:x val="6.510416666666667E-3"/>
                  <c:y val="-3.58422939068100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6FE-4EB8-BFDB-AF52734C1268}"/>
                </c:ext>
              </c:extLst>
            </c:dLbl>
            <c:dLbl>
              <c:idx val="7"/>
              <c:layout>
                <c:manualLayout>
                  <c:x val="6.5189605205599301E-3"/>
                  <c:y val="-3.515931476307364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6FE-4EB8-BFDB-AF52734C1268}"/>
                </c:ext>
              </c:extLst>
            </c:dLbl>
            <c:dLbl>
              <c:idx val="8"/>
              <c:layout>
                <c:manualLayout>
                  <c:x val="-3.6892361111111112E-2"/>
                  <c:y val="3.22580645161290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6FE-4EB8-BFDB-AF52734C1268}"/>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'КФП_ГРАФИКИ ПРИХОДИ И РАЗХОДИ'!$A$47:$A$55</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strRef>
          </c:cat>
          <c:val>
            <c:numRef>
              <c:f>'КФП_ГРАФИКИ ПРИХОДИ И РАЗХОДИ'!$B$47:$B$55</c:f>
              <c:numCache>
                <c:formatCode>0.0%</c:formatCode>
                <c:ptCount val="9"/>
                <c:pt idx="0" formatCode="0.00%">
                  <c:v>2.8207387732346326E-4</c:v>
                </c:pt>
                <c:pt idx="1">
                  <c:v>3.4006797439667349E-2</c:v>
                </c:pt>
                <c:pt idx="2">
                  <c:v>6.2380733400101321E-2</c:v>
                </c:pt>
                <c:pt idx="3">
                  <c:v>0.15365249292326291</c:v>
                </c:pt>
                <c:pt idx="4">
                  <c:v>3.8843657942349875E-3</c:v>
                </c:pt>
                <c:pt idx="5">
                  <c:v>4.2361382858268556E-2</c:v>
                </c:pt>
                <c:pt idx="6">
                  <c:v>8.7245389430181605E-2</c:v>
                </c:pt>
                <c:pt idx="7">
                  <c:v>1.0160497672067314E-2</c:v>
                </c:pt>
                <c:pt idx="8">
                  <c:v>0.39397373339510749</c:v>
                </c:pt>
              </c:numCache>
            </c:numRef>
          </c:val>
          <c:extLst>
            <c:ext xmlns:c16="http://schemas.microsoft.com/office/drawing/2014/chart" uri="{C3380CC4-5D6E-409C-BE32-E72D297353CC}">
              <c16:uniqueId val="{00000003-06FE-4EB8-BFDB-AF52734C1268}"/>
            </c:ext>
          </c:extLst>
        </c:ser>
        <c:ser>
          <c:idx val="1"/>
          <c:order val="1"/>
          <c:tx>
            <c:strRef>
              <c:f>'КФП_ГРАФИКИ ПРИХОДИ И РАЗХОДИ'!$C$46</c:f>
              <c:strCache>
                <c:ptCount val="1"/>
                <c:pt idx="0">
                  <c:v>2023 г.</c:v>
                </c:pt>
              </c:strCache>
            </c:strRef>
          </c:tx>
          <c:spPr>
            <a:pattFill prst="trellis">
              <a:fgClr>
                <a:srgbClr val="00B0F0"/>
              </a:fgClr>
              <a:bgClr>
                <a:schemeClr val="bg1"/>
              </a:bgClr>
            </a:pattFill>
            <a:ln>
              <a:solidFill>
                <a:schemeClr val="tx1">
                  <a:tint val="75000"/>
                  <a:shade val="95000"/>
                  <a:satMod val="105000"/>
                </a:schemeClr>
              </a:solidFill>
            </a:ln>
          </c:spPr>
          <c:invertIfNegative val="0"/>
          <c:dLbls>
            <c:dLbl>
              <c:idx val="0"/>
              <c:layout>
                <c:manualLayout>
                  <c:x val="8.680555555555555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6FE-4EB8-BFDB-AF52734C1268}"/>
                </c:ext>
              </c:extLst>
            </c:dLbl>
            <c:dLbl>
              <c:idx val="1"/>
              <c:layout>
                <c:manualLayout>
                  <c:x val="8.680555555555555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6FE-4EB8-BFDB-AF52734C1268}"/>
                </c:ext>
              </c:extLst>
            </c:dLbl>
            <c:dLbl>
              <c:idx val="2"/>
              <c:layout>
                <c:manualLayout>
                  <c:x val="6.510416666666667E-3"/>
                  <c:y val="-1.0752688172043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6FE-4EB8-BFDB-AF52734C1268}"/>
                </c:ext>
              </c:extLst>
            </c:dLbl>
            <c:dLbl>
              <c:idx val="3"/>
              <c:layout>
                <c:manualLayout>
                  <c:x val="2.1701388888889683E-3"/>
                  <c:y val="-1.79211469534050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6FE-4EB8-BFDB-AF52734C1268}"/>
                </c:ext>
              </c:extLst>
            </c:dLbl>
            <c:dLbl>
              <c:idx val="4"/>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6FE-4EB8-BFDB-AF52734C1268}"/>
                </c:ext>
              </c:extLst>
            </c:dLbl>
            <c:dLbl>
              <c:idx val="5"/>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6FE-4EB8-BFDB-AF52734C1268}"/>
                </c:ext>
              </c:extLst>
            </c:dLbl>
            <c:dLbl>
              <c:idx val="6"/>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6FE-4EB8-BFDB-AF52734C1268}"/>
                </c:ext>
              </c:extLst>
            </c:dLbl>
            <c:dLbl>
              <c:idx val="7"/>
              <c:layout>
                <c:manualLayout>
                  <c:x val="2.17013888888888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6FE-4EB8-BFDB-AF52734C1268}"/>
                </c:ext>
              </c:extLst>
            </c:dLbl>
            <c:dLbl>
              <c:idx val="8"/>
              <c:layout>
                <c:manualLayout>
                  <c:x val="-1.5354166255533848E-2"/>
                  <c:y val="-3.97416085384088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6FE-4EB8-BFDB-AF52734C1268}"/>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РАЗХОДИ'!$A$47:$A$55</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strRef>
          </c:cat>
          <c:val>
            <c:numRef>
              <c:f>'КФП_ГРАФИКИ ПРИХОДИ И РАЗХОДИ'!$C$47:$C$55</c:f>
              <c:numCache>
                <c:formatCode>0.0%</c:formatCode>
                <c:ptCount val="9"/>
                <c:pt idx="0" formatCode="0.00%">
                  <c:v>3.3590598959869813E-4</c:v>
                </c:pt>
                <c:pt idx="1">
                  <c:v>4.8135298958358254E-2</c:v>
                </c:pt>
                <c:pt idx="2">
                  <c:v>3.2302492270421181E-2</c:v>
                </c:pt>
                <c:pt idx="3">
                  <c:v>0.15736958522682618</c:v>
                </c:pt>
                <c:pt idx="4">
                  <c:v>4.345367997391718E-3</c:v>
                </c:pt>
                <c:pt idx="5">
                  <c:v>3.7908586619837953E-2</c:v>
                </c:pt>
                <c:pt idx="6">
                  <c:v>9.0053762280622243E-2</c:v>
                </c:pt>
                <c:pt idx="7">
                  <c:v>9.6759393497760238E-3</c:v>
                </c:pt>
                <c:pt idx="8">
                  <c:v>0.38012693869283232</c:v>
                </c:pt>
              </c:numCache>
            </c:numRef>
          </c:val>
          <c:extLst>
            <c:ext xmlns:c16="http://schemas.microsoft.com/office/drawing/2014/chart" uri="{C3380CC4-5D6E-409C-BE32-E72D297353CC}">
              <c16:uniqueId val="{0000000D-06FE-4EB8-BFDB-AF52734C1268}"/>
            </c:ext>
          </c:extLst>
        </c:ser>
        <c:dLbls>
          <c:showLegendKey val="0"/>
          <c:showVal val="0"/>
          <c:showCatName val="0"/>
          <c:showSerName val="0"/>
          <c:showPercent val="0"/>
          <c:showBubbleSize val="0"/>
        </c:dLbls>
        <c:gapWidth val="150"/>
        <c:shape val="cylinder"/>
        <c:axId val="145763712"/>
        <c:axId val="145773696"/>
        <c:axId val="0"/>
      </c:bar3DChart>
      <c:catAx>
        <c:axId val="145763712"/>
        <c:scaling>
          <c:orientation val="minMax"/>
        </c:scaling>
        <c:delete val="0"/>
        <c:axPos val="l"/>
        <c:numFmt formatCode="General" sourceLinked="1"/>
        <c:majorTickMark val="none"/>
        <c:minorTickMark val="none"/>
        <c:tickLblPos val="nextTo"/>
        <c:txPr>
          <a:bodyPr rot="0" vert="horz"/>
          <a:lstStyle/>
          <a:p>
            <a:pPr>
              <a:defRPr sz="870" b="0" i="0" u="none" strike="noStrike" baseline="0">
                <a:solidFill>
                  <a:srgbClr val="000000"/>
                </a:solidFill>
                <a:latin typeface="Times New Roman"/>
                <a:ea typeface="Times New Roman"/>
                <a:cs typeface="Times New Roman"/>
              </a:defRPr>
            </a:pPr>
            <a:endParaRPr lang="bg-BG"/>
          </a:p>
        </c:txPr>
        <c:crossAx val="145773696"/>
        <c:crosses val="autoZero"/>
        <c:auto val="1"/>
        <c:lblAlgn val="ctr"/>
        <c:lblOffset val="100"/>
        <c:noMultiLvlLbl val="0"/>
      </c:catAx>
      <c:valAx>
        <c:axId val="145773696"/>
        <c:scaling>
          <c:orientation val="minMax"/>
        </c:scaling>
        <c:delete val="0"/>
        <c:axPos val="b"/>
        <c:majorGridlines>
          <c:spPr>
            <a:ln>
              <a:noFill/>
            </a:ln>
          </c:spPr>
        </c:majorGridlines>
        <c:numFmt formatCode="0\.0%" sourceLinked="0"/>
        <c:majorTickMark val="none"/>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45763712"/>
        <c:crosses val="autoZero"/>
        <c:crossBetween val="between"/>
      </c:valAx>
    </c:plotArea>
    <c:legend>
      <c:legendPos val="r"/>
      <c:layout>
        <c:manualLayout>
          <c:xMode val="edge"/>
          <c:yMode val="edge"/>
          <c:x val="8.2465277777777797E-3"/>
          <c:y val="0.94842547907318042"/>
          <c:w val="0.17954430500874891"/>
          <c:h val="5.1574520926819634E-2"/>
        </c:manualLayout>
      </c:layout>
      <c:overlay val="0"/>
      <c:txPr>
        <a:bodyPr/>
        <a:lstStyle/>
        <a:p>
          <a:pPr>
            <a:defRPr sz="71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txPr>
    <a:bodyPr/>
    <a:lstStyle/>
    <a:p>
      <a:pPr>
        <a:defRPr sz="1000" b="0" i="0" u="none" strike="noStrike" baseline="0">
          <a:solidFill>
            <a:srgbClr val="000000"/>
          </a:solidFill>
          <a:latin typeface="Times New Roman"/>
          <a:ea typeface="Times New Roman"/>
          <a:cs typeface="Times New Roman"/>
        </a:defRPr>
      </a:pPr>
      <a:endParaRPr lang="bg-BG"/>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Приходи</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помощи </a:t>
            </a:r>
            <a:r>
              <a:rPr lang="bg-BG" sz="1000" b="1" i="0" u="none" strike="noStrike" baseline="0">
                <a:solidFill>
                  <a:srgbClr val="000000"/>
                </a:solidFill>
                <a:latin typeface="Times New Roman"/>
                <a:cs typeface="Times New Roman"/>
              </a:rPr>
              <a:t>и дарения </a:t>
            </a:r>
            <a:r>
              <a:rPr lang="en-US" sz="1000" b="1" i="0" u="none" strike="noStrike" baseline="0">
                <a:solidFill>
                  <a:srgbClr val="000000"/>
                </a:solidFill>
                <a:latin typeface="Times New Roman"/>
                <a:cs typeface="Times New Roman"/>
              </a:rPr>
              <a:t>по консолидираната фискална програма</a:t>
            </a:r>
          </a:p>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 </a:t>
            </a:r>
            <a:r>
              <a:rPr lang="bg-BG" sz="1000" b="1" i="0" u="none" strike="noStrike" baseline="0">
                <a:solidFill>
                  <a:srgbClr val="000000"/>
                </a:solidFill>
                <a:latin typeface="Times New Roman"/>
                <a:cs typeface="Times New Roman"/>
              </a:rPr>
              <a:t>към </a:t>
            </a:r>
            <a:r>
              <a:rPr lang="bg-BG" sz="1000" b="1" i="0" u="none" strike="noStrike" kern="1200" baseline="0">
                <a:solidFill>
                  <a:srgbClr val="000000"/>
                </a:solidFill>
                <a:latin typeface="Times New Roman"/>
                <a:cs typeface="Times New Roman"/>
              </a:rPr>
              <a:t>декември </a:t>
            </a:r>
            <a:r>
              <a:rPr lang="bg-BG" sz="1000" b="1" i="0" u="none" strike="noStrike" baseline="0">
                <a:solidFill>
                  <a:srgbClr val="000000"/>
                </a:solidFill>
                <a:latin typeface="Times New Roman"/>
                <a:cs typeface="Times New Roman"/>
              </a:rPr>
              <a:t> 2022 </a:t>
            </a:r>
            <a:r>
              <a:rPr lang="en-US" sz="1000" b="1" i="0" u="none" strike="noStrike" baseline="0">
                <a:solidFill>
                  <a:srgbClr val="000000"/>
                </a:solidFill>
                <a:latin typeface="Times New Roman"/>
                <a:cs typeface="Times New Roman"/>
              </a:rPr>
              <a:t>г. и 20</a:t>
            </a:r>
            <a:r>
              <a:rPr lang="bg-BG" sz="1000" b="1" i="0" u="none" strike="noStrike" baseline="0">
                <a:solidFill>
                  <a:srgbClr val="000000"/>
                </a:solidFill>
                <a:latin typeface="Times New Roman"/>
                <a:cs typeface="Times New Roman"/>
              </a:rPr>
              <a:t>23</a:t>
            </a:r>
            <a:r>
              <a:rPr lang="en-US" sz="1000" b="1" i="0" u="none" strike="noStrike" baseline="0">
                <a:solidFill>
                  <a:srgbClr val="000000"/>
                </a:solidFill>
                <a:latin typeface="Times New Roman"/>
                <a:cs typeface="Times New Roman"/>
              </a:rPr>
              <a:t> г.</a:t>
            </a:r>
          </a:p>
        </c:rich>
      </c:tx>
      <c:layout>
        <c:manualLayout>
          <c:xMode val="edge"/>
          <c:yMode val="edge"/>
          <c:x val="0.20118264226098204"/>
          <c:y val="1.05446002923104E-3"/>
        </c:manualLayout>
      </c:layout>
      <c:overlay val="0"/>
      <c:spPr>
        <a:noFill/>
        <a:ln w="25398">
          <a:noFill/>
        </a:ln>
      </c:spPr>
    </c:title>
    <c:autoTitleDeleted val="0"/>
    <c:view3D>
      <c:rotX val="24"/>
      <c:rotY val="40"/>
      <c:depthPercent val="100"/>
      <c:rAngAx val="1"/>
    </c:view3D>
    <c:floor>
      <c:thickness val="0"/>
      <c:spPr>
        <a:solidFill>
          <a:srgbClr val="C0C0C0"/>
        </a:solidFill>
        <a:ln w="3175">
          <a:solidFill>
            <a:srgbClr val="000000"/>
          </a:solidFill>
          <a:prstDash val="solid"/>
        </a:ln>
      </c:spPr>
    </c:floor>
    <c:side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sideWall>
    <c:back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backWall>
    <c:plotArea>
      <c:layout>
        <c:manualLayout>
          <c:layoutTarget val="inner"/>
          <c:xMode val="edge"/>
          <c:yMode val="edge"/>
          <c:x val="0.25095340355182877"/>
          <c:y val="0.14577781142741791"/>
          <c:w val="0.69015203420858928"/>
          <c:h val="0.70997457994915991"/>
        </c:manualLayout>
      </c:layout>
      <c:bar3DChart>
        <c:barDir val="bar"/>
        <c:grouping val="clustered"/>
        <c:varyColors val="0"/>
        <c:ser>
          <c:idx val="1"/>
          <c:order val="0"/>
          <c:tx>
            <c:strRef>
              <c:f>data!$C$1</c:f>
              <c:strCache>
                <c:ptCount val="1"/>
                <c:pt idx="0">
                  <c:v> декември 2023 г.</c:v>
                </c:pt>
              </c:strCache>
            </c:strRef>
          </c:tx>
          <c:spPr>
            <a:pattFill prst="pct80">
              <a:fgClr>
                <a:srgbClr val="C0C0C0"/>
              </a:fgClr>
              <a:bgClr>
                <a:srgbClr val="993366"/>
              </a:bgClr>
            </a:pattFill>
            <a:ln w="12699">
              <a:solidFill>
                <a:srgbClr val="000000"/>
              </a:solidFill>
              <a:prstDash val="solid"/>
            </a:ln>
          </c:spPr>
          <c:invertIfNegative val="0"/>
          <c:dLbls>
            <c:dLbl>
              <c:idx val="0"/>
              <c:layout>
                <c:manualLayout>
                  <c:x val="4.0443808160343575E-3"/>
                  <c:y val="3.53987364951474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A7B-4726-8FE8-18B940C8AA9D}"/>
                </c:ext>
              </c:extLst>
            </c:dLbl>
            <c:dLbl>
              <c:idx val="1"/>
              <c:layout>
                <c:manualLayout>
                  <c:x val="4.5585447652376834E-3"/>
                  <c:y val="-1.145814258682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A7B-4726-8FE8-18B940C8AA9D}"/>
                </c:ext>
              </c:extLst>
            </c:dLbl>
            <c:dLbl>
              <c:idx val="2"/>
              <c:layout>
                <c:manualLayout>
                  <c:x val="1.2604221002343161E-2"/>
                  <c:y val="2.667166604174529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A7B-4726-8FE8-18B940C8AA9D}"/>
                </c:ext>
              </c:extLst>
            </c:dLbl>
            <c:dLbl>
              <c:idx val="3"/>
              <c:layout>
                <c:manualLayout>
                  <c:x val="1.2552224347351025E-2"/>
                  <c:y val="2.807149106361705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A7B-4726-8FE8-18B940C8AA9D}"/>
                </c:ext>
              </c:extLst>
            </c:dLbl>
            <c:dLbl>
              <c:idx val="4"/>
              <c:layout>
                <c:manualLayout>
                  <c:x val="2.3125925238610349E-2"/>
                  <c:y val="-1.8085892418365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7B-4726-8FE8-18B940C8AA9D}"/>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7B-4726-8FE8-18B940C8AA9D}"/>
                </c:ext>
              </c:extLst>
            </c:dLbl>
            <c:dLbl>
              <c:idx val="6"/>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7B-4726-8FE8-18B940C8AA9D}"/>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data!$C$3:$C$6</c:f>
              <c:numCache>
                <c:formatCode>#,#00.0</c:formatCode>
                <c:ptCount val="4"/>
                <c:pt idx="0">
                  <c:v>67057.868057</c:v>
                </c:pt>
                <c:pt idx="1">
                  <c:v>52324.150826999998</c:v>
                </c:pt>
                <c:pt idx="2">
                  <c:v>10903.59844</c:v>
                </c:pt>
                <c:pt idx="3">
                  <c:v>3830.11879</c:v>
                </c:pt>
              </c:numCache>
            </c:numRef>
          </c:val>
          <c:extLst>
            <c:ext xmlns:c16="http://schemas.microsoft.com/office/drawing/2014/chart" uri="{C3380CC4-5D6E-409C-BE32-E72D297353CC}">
              <c16:uniqueId val="{00000007-EA7B-4726-8FE8-18B940C8AA9D}"/>
            </c:ext>
          </c:extLst>
        </c:ser>
        <c:ser>
          <c:idx val="0"/>
          <c:order val="1"/>
          <c:tx>
            <c:strRef>
              <c:f>data!$B$1</c:f>
              <c:strCache>
                <c:ptCount val="1"/>
                <c:pt idx="0">
                  <c:v> декември 2022 г.</c:v>
                </c:pt>
              </c:strCache>
            </c:strRef>
          </c:tx>
          <c:spPr>
            <a:pattFill prst="pct80">
              <a:fgClr>
                <a:srgbClr val="000000"/>
              </a:fgClr>
              <a:bgClr>
                <a:sysClr val="window" lastClr="FFFFFF"/>
              </a:bgClr>
            </a:pattFill>
            <a:ln w="12699">
              <a:solidFill>
                <a:srgbClr val="000000"/>
              </a:solidFill>
              <a:prstDash val="solid"/>
            </a:ln>
          </c:spPr>
          <c:invertIfNegative val="0"/>
          <c:dLbls>
            <c:dLbl>
              <c:idx val="0"/>
              <c:layout>
                <c:manualLayout>
                  <c:x val="1.2627753917124E-2"/>
                  <c:y val="-1.9986800341818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A7B-4726-8FE8-18B940C8AA9D}"/>
                </c:ext>
              </c:extLst>
            </c:dLbl>
            <c:dLbl>
              <c:idx val="1"/>
              <c:layout>
                <c:manualLayout>
                  <c:x val="1.1606385376070541E-2"/>
                  <c:y val="-3.35359061222000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A7B-4726-8FE8-18B940C8AA9D}"/>
                </c:ext>
              </c:extLst>
            </c:dLbl>
            <c:dLbl>
              <c:idx val="2"/>
              <c:layout>
                <c:manualLayout>
                  <c:x val="9.1593598118849696E-3"/>
                  <c:y val="-3.13707215169536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A7B-4726-8FE8-18B940C8AA9D}"/>
                </c:ext>
              </c:extLst>
            </c:dLbl>
            <c:dLbl>
              <c:idx val="3"/>
              <c:layout>
                <c:manualLayout>
                  <c:x val="1.4735121117020421E-2"/>
                  <c:y val="-4.992011868081706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EA7B-4726-8FE8-18B940C8AA9D}"/>
                </c:ext>
              </c:extLst>
            </c:dLbl>
            <c:dLbl>
              <c:idx val="4"/>
              <c:layout>
                <c:manualLayout>
                  <c:x val="8.090605209302942E-3"/>
                  <c:y val="-1.2366513447686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A7B-4726-8FE8-18B940C8AA9D}"/>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A7B-4726-8FE8-18B940C8AA9D}"/>
                </c:ext>
              </c:extLst>
            </c:dLbl>
            <c:dLbl>
              <c:idx val="6"/>
              <c:layout>
                <c:manualLayout>
                  <c:xMode val="edge"/>
                  <c:yMode val="edge"/>
                  <c:x val="7.1599180932872524E-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A7B-4726-8FE8-18B940C8AA9D}"/>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data!$B$3:$B$6</c:f>
              <c:numCache>
                <c:formatCode>#,#00.0</c:formatCode>
                <c:ptCount val="4"/>
                <c:pt idx="0">
                  <c:v>64788.72075600001</c:v>
                </c:pt>
                <c:pt idx="1">
                  <c:v>46782.96725400001</c:v>
                </c:pt>
                <c:pt idx="2">
                  <c:v>12000.333384</c:v>
                </c:pt>
                <c:pt idx="3">
                  <c:v>6005.420118</c:v>
                </c:pt>
              </c:numCache>
            </c:numRef>
          </c:val>
          <c:extLst>
            <c:ext xmlns:c16="http://schemas.microsoft.com/office/drawing/2014/chart" uri="{C3380CC4-5D6E-409C-BE32-E72D297353CC}">
              <c16:uniqueId val="{0000000F-EA7B-4726-8FE8-18B940C8AA9D}"/>
            </c:ext>
          </c:extLst>
        </c:ser>
        <c:dLbls>
          <c:showLegendKey val="0"/>
          <c:showVal val="0"/>
          <c:showCatName val="0"/>
          <c:showSerName val="0"/>
          <c:showPercent val="0"/>
          <c:showBubbleSize val="0"/>
        </c:dLbls>
        <c:gapWidth val="150"/>
        <c:gapDepth val="273"/>
        <c:shape val="cylinder"/>
        <c:axId val="386737280"/>
        <c:axId val="386738816"/>
        <c:axId val="0"/>
      </c:bar3DChart>
      <c:catAx>
        <c:axId val="386737280"/>
        <c:scaling>
          <c:orientation val="minMax"/>
        </c:scaling>
        <c:delete val="0"/>
        <c:axPos val="l"/>
        <c:numFmt formatCode="General" sourceLinked="1"/>
        <c:majorTickMark val="out"/>
        <c:minorTickMark val="none"/>
        <c:tickLblPos val="low"/>
        <c:spPr>
          <a:ln w="9524">
            <a:noFill/>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386738816"/>
        <c:crosses val="autoZero"/>
        <c:auto val="1"/>
        <c:lblAlgn val="ctr"/>
        <c:lblOffset val="100"/>
        <c:noMultiLvlLbl val="0"/>
      </c:catAx>
      <c:valAx>
        <c:axId val="386738816"/>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2.4112266865518203E-2"/>
              <c:y val="6.9734205759492324E-2"/>
            </c:manualLayout>
          </c:layout>
          <c:overlay val="0"/>
          <c:spPr>
            <a:noFill/>
            <a:ln w="25398">
              <a:noFill/>
            </a:ln>
          </c:spPr>
        </c:title>
        <c:numFmt formatCode="General"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386737280"/>
        <c:crosses val="autoZero"/>
        <c:crossBetween val="between"/>
      </c:valAx>
      <c:spPr>
        <a:noFill/>
        <a:ln>
          <a:gradFill>
            <a:gsLst>
              <a:gs pos="0">
                <a:sysClr val="window" lastClr="FFFFFF"/>
              </a:gs>
              <a:gs pos="50000">
                <a:srgbClr val="4F81BD">
                  <a:tint val="44500"/>
                  <a:satMod val="160000"/>
                </a:srgbClr>
              </a:gs>
              <a:gs pos="100000">
                <a:srgbClr val="4F81BD">
                  <a:tint val="23500"/>
                  <a:satMod val="160000"/>
                </a:srgbClr>
              </a:gs>
            </a:gsLst>
            <a:lin ang="5400000" scaled="0"/>
          </a:gradFill>
        </a:ln>
      </c:spPr>
    </c:plotArea>
    <c:legend>
      <c:legendPos val="r"/>
      <c:layout>
        <c:manualLayout>
          <c:xMode val="edge"/>
          <c:yMode val="edge"/>
          <c:x val="1.9950928558962817E-2"/>
          <c:y val="0.83506857417470703"/>
          <c:w val="0.15320686037840794"/>
          <c:h val="0.14492772910428453"/>
        </c:manualLayout>
      </c:layout>
      <c:overlay val="0"/>
      <c:spPr>
        <a:solidFill>
          <a:srgbClr val="FFFFFF"/>
        </a:solidFill>
        <a:ln w="3175">
          <a:solidFill>
            <a:srgbClr val="000000"/>
          </a:solidFill>
          <a:prstDash val="solid"/>
        </a:ln>
      </c:spPr>
      <c:txPr>
        <a:bodyPr/>
        <a:lstStyle/>
        <a:p>
          <a:pPr>
            <a:defRPr sz="69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a:ea typeface="Times New Roman"/>
                <a:cs typeface="Times New Roman"/>
              </a:defRPr>
            </a:pPr>
            <a:r>
              <a:rPr lang="bg-BG" sz="1000"/>
              <a:t>Разходи по консолидираната фискална програма </a:t>
            </a:r>
            <a:r>
              <a:rPr lang="bg-BG" sz="1000" b="1" i="0" u="none" strike="noStrike" kern="1200" baseline="0">
                <a:solidFill>
                  <a:srgbClr val="000000"/>
                </a:solidFill>
                <a:latin typeface="Times New Roman"/>
                <a:cs typeface="Times New Roman"/>
              </a:rPr>
              <a:t>към декември 2022 </a:t>
            </a:r>
            <a:r>
              <a:rPr lang="bg-BG" sz="1000"/>
              <a:t>г. и 2023 г.</a:t>
            </a:r>
          </a:p>
        </c:rich>
      </c:tx>
      <c:layout>
        <c:manualLayout>
          <c:xMode val="edge"/>
          <c:yMode val="edge"/>
          <c:x val="0.16410406246389014"/>
          <c:y val="3.5853691365502391E-3"/>
        </c:manualLayout>
      </c:layout>
      <c:overlay val="0"/>
      <c:spPr>
        <a:noFill/>
        <a:ln w="25399">
          <a:noFill/>
        </a:ln>
      </c:spPr>
    </c:title>
    <c:autoTitleDeleted val="0"/>
    <c:view3D>
      <c:rotX val="24"/>
      <c:hPercent val="41"/>
      <c:rotY val="40"/>
      <c:depthPercent val="100"/>
      <c:rAngAx val="1"/>
    </c:view3D>
    <c:floor>
      <c:thickness val="0"/>
      <c:spPr>
        <a:solidFill>
          <a:srgbClr val="C0C0C0"/>
        </a:solidFill>
        <a:ln w="3175">
          <a:solidFill>
            <a:srgbClr val="000000"/>
          </a:solidFill>
          <a:prstDash val="solid"/>
        </a:ln>
      </c:spPr>
    </c:floor>
    <c:sideWall>
      <c:thickness val="0"/>
      <c:spPr>
        <a:gradFill flip="none" rotWithShape="1">
          <a:gsLst>
            <a:gs pos="0">
              <a:sysClr val="window" lastClr="FFFFFF"/>
            </a:gs>
            <a:gs pos="100000">
              <a:srgbClr val="000000">
                <a:gamma/>
                <a:shade val="46275"/>
                <a:invGamma/>
              </a:srgbClr>
            </a:gs>
          </a:gsLst>
          <a:lin ang="2700000" scaled="1"/>
          <a:tileRect/>
        </a:gradFill>
        <a:ln w="3175">
          <a:solidFill>
            <a:srgbClr val="FFFFFF"/>
          </a:solidFill>
          <a:prstDash val="solid"/>
        </a:ln>
      </c:spPr>
    </c:sideWall>
    <c:backWall>
      <c:thickness val="0"/>
      <c:spPr>
        <a:gradFill flip="none" rotWithShape="1">
          <a:gsLst>
            <a:gs pos="0">
              <a:sysClr val="window" lastClr="FFFFFF"/>
            </a:gs>
            <a:gs pos="100000">
              <a:srgbClr val="000000">
                <a:gamma/>
                <a:shade val="46275"/>
                <a:invGamma/>
              </a:srgbClr>
            </a:gs>
          </a:gsLst>
          <a:lin ang="2700000" scaled="1"/>
          <a:tileRect/>
        </a:gradFill>
        <a:ln w="3175">
          <a:solidFill>
            <a:srgbClr val="FFFFFF"/>
          </a:solidFill>
          <a:prstDash val="solid"/>
        </a:ln>
      </c:spPr>
    </c:backWall>
    <c:plotArea>
      <c:layout>
        <c:manualLayout>
          <c:layoutTarget val="inner"/>
          <c:xMode val="edge"/>
          <c:yMode val="edge"/>
          <c:x val="6.7359976229386512E-2"/>
          <c:y val="7.923823475554069E-2"/>
          <c:w val="0.93143515079482986"/>
          <c:h val="0.75174606821363021"/>
        </c:manualLayout>
      </c:layout>
      <c:bar3DChart>
        <c:barDir val="col"/>
        <c:grouping val="clustered"/>
        <c:varyColors val="0"/>
        <c:ser>
          <c:idx val="0"/>
          <c:order val="0"/>
          <c:tx>
            <c:strRef>
              <c:f>data!$B$1</c:f>
              <c:strCache>
                <c:ptCount val="1"/>
                <c:pt idx="0">
                  <c:v>декември 2022 г.</c:v>
                </c:pt>
              </c:strCache>
            </c:strRef>
          </c:tx>
          <c:spPr>
            <a:pattFill prst="pct5">
              <a:fgClr>
                <a:srgbClr val="000000"/>
              </a:fgClr>
              <a:bgClr>
                <a:srgbClr val="333333"/>
              </a:bgClr>
            </a:pattFill>
            <a:ln w="12700">
              <a:solidFill>
                <a:srgbClr val="000000"/>
              </a:solidFill>
              <a:prstDash val="solid"/>
            </a:ln>
          </c:spPr>
          <c:invertIfNegative val="0"/>
          <c:dLbls>
            <c:dLbl>
              <c:idx val="0"/>
              <c:layout>
                <c:manualLayout>
                  <c:x val="7.3754921259844451E-3"/>
                  <c:y val="0.177831851663703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98C-4E7C-A575-1FE50B1BA7BD}"/>
                </c:ext>
              </c:extLst>
            </c:dLbl>
            <c:dLbl>
              <c:idx val="1"/>
              <c:layout>
                <c:manualLayout>
                  <c:x val="6.1202427821523912E-3"/>
                  <c:y val="0.16377106087545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98C-4E7C-A575-1FE50B1BA7BD}"/>
                </c:ext>
              </c:extLst>
            </c:dLbl>
            <c:dLbl>
              <c:idx val="2"/>
              <c:layout>
                <c:manualLayout>
                  <c:x val="2.7818241469817085E-3"/>
                  <c:y val="-3.33191093048852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98C-4E7C-A575-1FE50B1BA7BD}"/>
                </c:ext>
              </c:extLst>
            </c:dLbl>
            <c:dLbl>
              <c:idx val="3"/>
              <c:layout>
                <c:manualLayout>
                  <c:x val="1.0317257217847769E-2"/>
                  <c:y val="-2.069223605113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98C-4E7C-A575-1FE50B1BA7BD}"/>
                </c:ext>
              </c:extLst>
            </c:dLbl>
            <c:dLbl>
              <c:idx val="4"/>
              <c:layout>
                <c:manualLayout>
                  <c:x val="1.6023129921259843E-2"/>
                  <c:y val="-3.35477097620861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98C-4E7C-A575-1FE50B1BA7BD}"/>
                </c:ext>
              </c:extLst>
            </c:dLbl>
            <c:dLbl>
              <c:idx val="5"/>
              <c:layout>
                <c:manualLayout>
                  <c:x val="1.8415952722890771E-2"/>
                  <c:y val="-2.63831742517596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98C-4E7C-A575-1FE50B1BA7BD}"/>
                </c:ext>
              </c:extLst>
            </c:dLbl>
            <c:dLbl>
              <c:idx val="6"/>
              <c:layout>
                <c:manualLayout>
                  <c:xMode val="edge"/>
                  <c:yMode val="edge"/>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8C-4E7C-A575-1FE50B1BA7BD}"/>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Предостав. тек.
и капит. трансфери за чужбина</c:v>
                </c:pt>
                <c:pt idx="3">
                  <c:v>Капиталови разходи*</c:v>
                </c:pt>
                <c:pt idx="4">
                  <c:v>Лихви</c:v>
                </c:pt>
                <c:pt idx="5">
                  <c:v>Вноска в бюджета на  ЕС</c:v>
                </c:pt>
              </c:strCache>
            </c:strRef>
          </c:cat>
          <c:val>
            <c:numRef>
              <c:f>data!$B$3:$B$8</c:f>
              <c:numCache>
                <c:formatCode>#,##0.0</c:formatCode>
                <c:ptCount val="6"/>
                <c:pt idx="0">
                  <c:v>66112.328802000004</c:v>
                </c:pt>
                <c:pt idx="1">
                  <c:v>58001.494290000002</c:v>
                </c:pt>
                <c:pt idx="2">
                  <c:v>47.334527999999992</c:v>
                </c:pt>
                <c:pt idx="3">
                  <c:v>5706.6458250000005</c:v>
                </c:pt>
                <c:pt idx="4">
                  <c:v>651.83144900000002</c:v>
                </c:pt>
                <c:pt idx="5">
                  <c:v>1705.02271</c:v>
                </c:pt>
              </c:numCache>
            </c:numRef>
          </c:val>
          <c:extLst>
            <c:ext xmlns:c16="http://schemas.microsoft.com/office/drawing/2014/chart" uri="{C3380CC4-5D6E-409C-BE32-E72D297353CC}">
              <c16:uniqueId val="{00000007-598C-4E7C-A575-1FE50B1BA7BD}"/>
            </c:ext>
          </c:extLst>
        </c:ser>
        <c:ser>
          <c:idx val="1"/>
          <c:order val="1"/>
          <c:tx>
            <c:strRef>
              <c:f>data!$C$1</c:f>
              <c:strCache>
                <c:ptCount val="1"/>
                <c:pt idx="0">
                  <c:v>декември 2023 г.</c:v>
                </c:pt>
              </c:strCache>
            </c:strRef>
          </c:tx>
          <c:spPr>
            <a:pattFill prst="pct80">
              <a:fgClr>
                <a:srgbClr val="C0C0C0"/>
              </a:fgClr>
              <a:bgClr>
                <a:srgbClr val="993366"/>
              </a:bgClr>
            </a:pattFill>
            <a:ln w="12700">
              <a:solidFill>
                <a:srgbClr val="000000"/>
              </a:solidFill>
              <a:prstDash val="solid"/>
            </a:ln>
          </c:spPr>
          <c:invertIfNegative val="0"/>
          <c:dLbls>
            <c:dLbl>
              <c:idx val="0"/>
              <c:layout>
                <c:manualLayout>
                  <c:x val="9.3784974991333626E-3"/>
                  <c:y val="0.177014152300729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98C-4E7C-A575-1FE50B1BA7BD}"/>
                </c:ext>
              </c:extLst>
            </c:dLbl>
            <c:dLbl>
              <c:idx val="1"/>
              <c:layout>
                <c:manualLayout>
                  <c:x val="9.8586969081694981E-3"/>
                  <c:y val="0.175726755085846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98C-4E7C-A575-1FE50B1BA7BD}"/>
                </c:ext>
              </c:extLst>
            </c:dLbl>
            <c:dLbl>
              <c:idx val="2"/>
              <c:layout>
                <c:manualLayout>
                  <c:x val="1.3761646981627297E-2"/>
                  <c:y val="-2.78503090339514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98C-4E7C-A575-1FE50B1BA7BD}"/>
                </c:ext>
              </c:extLst>
            </c:dLbl>
            <c:dLbl>
              <c:idx val="3"/>
              <c:layout>
                <c:manualLayout>
                  <c:x val="1.9671095800524941E-2"/>
                  <c:y val="-3.26644653289306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98C-4E7C-A575-1FE50B1BA7BD}"/>
                </c:ext>
              </c:extLst>
            </c:dLbl>
            <c:dLbl>
              <c:idx val="4"/>
              <c:layout>
                <c:manualLayout>
                  <c:x val="2.7460301837270402E-2"/>
                  <c:y val="-4.79061891457121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98C-4E7C-A575-1FE50B1BA7BD}"/>
                </c:ext>
              </c:extLst>
            </c:dLbl>
            <c:dLbl>
              <c:idx val="5"/>
              <c:layout>
                <c:manualLayout>
                  <c:x val="3.0156260750382247E-2"/>
                  <c:y val="-2.8191126375121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98C-4E7C-A575-1FE50B1BA7BD}"/>
                </c:ext>
              </c:extLst>
            </c:dLbl>
            <c:dLbl>
              <c:idx val="6"/>
              <c:layout>
                <c:manualLayout>
                  <c:xMode val="edge"/>
                  <c:yMode val="edge"/>
                  <c:x val="0.930081300813008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98C-4E7C-A575-1FE50B1BA7BD}"/>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Предостав. тек.
и капит. трансфери за чужбина</c:v>
                </c:pt>
                <c:pt idx="3">
                  <c:v>Капиталови разходи*</c:v>
                </c:pt>
                <c:pt idx="4">
                  <c:v>Лихви</c:v>
                </c:pt>
                <c:pt idx="5">
                  <c:v>Вноска в бюджета на  ЕС</c:v>
                </c:pt>
              </c:strCache>
            </c:strRef>
          </c:cat>
          <c:val>
            <c:numRef>
              <c:f>data!$C$3:$C$8</c:f>
              <c:numCache>
                <c:formatCode>#,##0.0</c:formatCode>
                <c:ptCount val="6"/>
                <c:pt idx="0">
                  <c:v>72677.286738999988</c:v>
                </c:pt>
                <c:pt idx="1">
                  <c:v>60729.788573999998</c:v>
                </c:pt>
                <c:pt idx="2">
                  <c:v>64.208323000000007</c:v>
                </c:pt>
                <c:pt idx="3">
                  <c:v>9202.672407</c:v>
                </c:pt>
                <c:pt idx="4">
                  <c:v>830.75487699999996</c:v>
                </c:pt>
                <c:pt idx="5">
                  <c:v>1849.862558</c:v>
                </c:pt>
              </c:numCache>
            </c:numRef>
          </c:val>
          <c:extLst>
            <c:ext xmlns:c16="http://schemas.microsoft.com/office/drawing/2014/chart" uri="{C3380CC4-5D6E-409C-BE32-E72D297353CC}">
              <c16:uniqueId val="{0000000F-598C-4E7C-A575-1FE50B1BA7BD}"/>
            </c:ext>
          </c:extLst>
        </c:ser>
        <c:dLbls>
          <c:showLegendKey val="0"/>
          <c:showVal val="0"/>
          <c:showCatName val="0"/>
          <c:showSerName val="0"/>
          <c:showPercent val="0"/>
          <c:showBubbleSize val="0"/>
        </c:dLbls>
        <c:gapWidth val="150"/>
        <c:shape val="cylinder"/>
        <c:axId val="376708480"/>
        <c:axId val="376710272"/>
        <c:axId val="0"/>
      </c:bar3DChart>
      <c:catAx>
        <c:axId val="376708480"/>
        <c:scaling>
          <c:orientation val="minMax"/>
        </c:scaling>
        <c:delete val="0"/>
        <c:axPos val="b"/>
        <c:numFmt formatCode="General" sourceLinked="1"/>
        <c:majorTickMark val="out"/>
        <c:minorTickMark val="none"/>
        <c:tickLblPos val="low"/>
        <c:spPr>
          <a:ln w="9525">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376710272"/>
        <c:crossesAt val="0"/>
        <c:auto val="1"/>
        <c:lblAlgn val="ctr"/>
        <c:lblOffset val="100"/>
        <c:tickMarkSkip val="1"/>
        <c:noMultiLvlLbl val="0"/>
      </c:catAx>
      <c:valAx>
        <c:axId val="376710272"/>
        <c:scaling>
          <c:orientation val="minMax"/>
          <c:min val="0"/>
        </c:scaling>
        <c:delete val="0"/>
        <c:axPos val="l"/>
        <c:majorGridlines>
          <c:spPr>
            <a:ln w="3175">
              <a:solidFill>
                <a:srgbClr val="000000"/>
              </a:solidFill>
              <a:prstDash val="solid"/>
            </a:ln>
          </c:spPr>
        </c:majorGridlines>
        <c:minorGridlines>
          <c:spPr>
            <a:ln>
              <a:noFill/>
            </a:ln>
          </c:spPr>
        </c:minorGridlines>
        <c:title>
          <c:tx>
            <c:rich>
              <a:bodyPr rot="0" vert="horz"/>
              <a:lstStyle/>
              <a:p>
                <a:pPr algn="ct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1.5670611928225952E-2"/>
              <c:y val="4.5936805976176054E-2"/>
            </c:manualLayout>
          </c:layout>
          <c:overlay val="0"/>
          <c:spPr>
            <a:noFill/>
            <a:ln w="25399">
              <a:noFill/>
            </a:ln>
          </c:spPr>
        </c:title>
        <c:numFmt formatCode="#\ ##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376708480"/>
        <c:crosses val="autoZero"/>
        <c:crossBetween val="between"/>
      </c:valAx>
      <c:spPr>
        <a:noFill/>
        <a:ln w="25399">
          <a:noFill/>
        </a:ln>
      </c:spPr>
    </c:plotArea>
    <c:legend>
      <c:legendPos val="r"/>
      <c:legendEntry>
        <c:idx val="0"/>
        <c:txPr>
          <a:bodyPr/>
          <a:lstStyle/>
          <a:p>
            <a:pPr>
              <a:defRPr sz="70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0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6.2893081761007516E-3"/>
          <c:y val="0.91250477411253827"/>
          <c:w val="0.1636405354991004"/>
          <c:h val="8.6246195969690728E-2"/>
        </c:manualLayout>
      </c:layout>
      <c:overlay val="0"/>
      <c:spPr>
        <a:solidFill>
          <a:srgbClr val="FFFFFF"/>
        </a:solidFill>
        <a:ln w="3175">
          <a:solidFill>
            <a:srgbClr val="000000"/>
          </a:solidFill>
          <a:prstDash val="solid"/>
        </a:ln>
      </c:spPr>
      <c:txPr>
        <a:bodyPr/>
        <a:lstStyle/>
        <a:p>
          <a:pPr>
            <a:defRPr sz="63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декември 2022 г.</c:v>
                </c:pt>
              </c:strCache>
            </c:strRef>
          </c:tx>
          <c:spPr>
            <a:pattFill prst="pct5">
              <a:fgClr>
                <a:srgbClr val="FFFFFF"/>
              </a:fgClr>
              <a:bgClr>
                <a:srgbClr val="000000"/>
              </a:bgClr>
            </a:pattFill>
            <a:ln w="12683">
              <a:solidFill>
                <a:srgbClr val="000000"/>
              </a:solidFill>
              <a:prstDash val="solid"/>
            </a:ln>
          </c:spPr>
          <c:invertIfNegative val="0"/>
          <c:dLbls>
            <c:dLbl>
              <c:idx val="2"/>
              <c:layout>
                <c:manualLayout>
                  <c:x val="0"/>
                  <c:y val="-4.34027777777785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1BF-4559-8DB3-1C45476AB01E}"/>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1BF-4559-8DB3-1C45476AB01E}"/>
                </c:ext>
              </c:extLst>
            </c:dLbl>
            <c:dLbl>
              <c:idx val="5"/>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1BF-4559-8DB3-1C45476AB01E}"/>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15386.700945999999</c:v>
                </c:pt>
                <c:pt idx="1">
                  <c:v>23.404903999999998</c:v>
                </c:pt>
                <c:pt idx="2">
                  <c:v>2430.2607519999997</c:v>
                </c:pt>
                <c:pt idx="3">
                  <c:v>611.64076800000009</c:v>
                </c:pt>
                <c:pt idx="4">
                  <c:v>20484.071788999998</c:v>
                </c:pt>
                <c:pt idx="5">
                  <c:v>1705.02271</c:v>
                </c:pt>
              </c:numCache>
            </c:numRef>
          </c:val>
          <c:extLst>
            <c:ext xmlns:c16="http://schemas.microsoft.com/office/drawing/2014/chart" uri="{C3380CC4-5D6E-409C-BE32-E72D297353CC}">
              <c16:uniqueId val="{00000003-21BF-4559-8DB3-1C45476AB01E}"/>
            </c:ext>
          </c:extLst>
        </c:ser>
        <c:ser>
          <c:idx val="1"/>
          <c:order val="1"/>
          <c:tx>
            <c:strRef>
              <c:f>Sheet1!$C$36</c:f>
              <c:strCache>
                <c:ptCount val="1"/>
                <c:pt idx="0">
                  <c:v>към декември  2023 г.</c:v>
                </c:pt>
              </c:strCache>
            </c:strRef>
          </c:tx>
          <c:spPr>
            <a:pattFill prst="smConfetti">
              <a:fgClr>
                <a:srgbClr val="333333"/>
              </a:fgClr>
              <a:bgClr>
                <a:srgbClr val="FFFFFF"/>
              </a:bgClr>
            </a:pattFill>
            <a:ln w="12683">
              <a:solidFill>
                <a:srgbClr val="000000"/>
              </a:solidFill>
              <a:prstDash val="solid"/>
            </a:ln>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1BF-4559-8DB3-1C45476AB01E}"/>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1BF-4559-8DB3-1C45476AB01E}"/>
                </c:ext>
              </c:extLst>
            </c:dLbl>
            <c:dLbl>
              <c:idx val="2"/>
              <c:layout>
                <c:manualLayout>
                  <c:x val="2.2504468494836203E-3"/>
                  <c:y val="-1.16011865704286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1BF-4559-8DB3-1C45476AB01E}"/>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1BF-4559-8DB3-1C45476AB01E}"/>
                </c:ext>
              </c:extLst>
            </c:dLbl>
            <c:dLbl>
              <c:idx val="4"/>
              <c:layout>
                <c:manualLayout>
                  <c:x val="2.8449113763692161E-4"/>
                  <c:y val="0.1279206310148731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1BF-4559-8DB3-1C45476AB01E}"/>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1BF-4559-8DB3-1C45476AB01E}"/>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14828.554182000002</c:v>
                </c:pt>
                <c:pt idx="1">
                  <c:v>21.413450999999998</c:v>
                </c:pt>
                <c:pt idx="2">
                  <c:v>3935.5729399999996</c:v>
                </c:pt>
                <c:pt idx="3">
                  <c:v>782.16239599999994</c:v>
                </c:pt>
                <c:pt idx="4">
                  <c:v>23643.861097999998</c:v>
                </c:pt>
                <c:pt idx="5">
                  <c:v>1849.862558</c:v>
                </c:pt>
              </c:numCache>
            </c:numRef>
          </c:val>
          <c:extLst>
            <c:ext xmlns:c16="http://schemas.microsoft.com/office/drawing/2014/chart" uri="{C3380CC4-5D6E-409C-BE32-E72D297353CC}">
              <c16:uniqueId val="{0000000A-21BF-4559-8DB3-1C45476AB01E}"/>
            </c:ext>
          </c:extLst>
        </c:ser>
        <c:dLbls>
          <c:showLegendKey val="0"/>
          <c:showVal val="0"/>
          <c:showCatName val="0"/>
          <c:showSerName val="0"/>
          <c:showPercent val="0"/>
          <c:showBubbleSize val="0"/>
        </c:dLbls>
        <c:gapWidth val="150"/>
        <c:axId val="134838144"/>
        <c:axId val="134839680"/>
      </c:barChart>
      <c:catAx>
        <c:axId val="134838144"/>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134839680"/>
        <c:crosses val="autoZero"/>
        <c:auto val="1"/>
        <c:lblAlgn val="ctr"/>
        <c:lblOffset val="100"/>
        <c:tickLblSkip val="1"/>
        <c:tickMarkSkip val="1"/>
        <c:noMultiLvlLbl val="0"/>
      </c:catAx>
      <c:valAx>
        <c:axId val="134839680"/>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 ##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34838144"/>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38042784974458832"/>
          <c:y val="0.91659665892376085"/>
          <c:w val="0.27736291028137611"/>
          <c:h val="8.2830786585230104E-2"/>
        </c:manualLayout>
      </c:layout>
      <c:overlay val="0"/>
      <c:spPr>
        <a:solidFill>
          <a:srgbClr val="FFFFFF"/>
        </a:solidFill>
        <a:ln w="3171">
          <a:solidFill>
            <a:sysClr val="window" lastClr="FFFFFF">
              <a:lumMod val="85000"/>
            </a:sysClr>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0.31398</cdr:x>
      <cdr:y>0</cdr:y>
    </cdr:from>
    <cdr:to>
      <cdr:x>0.83</cdr:x>
      <cdr:y>0.08815</cdr:y>
    </cdr:to>
    <cdr:sp macro="" textlink="">
      <cdr:nvSpPr>
        <cdr:cNvPr id="2" name="TextBox 1"/>
        <cdr:cNvSpPr txBox="1"/>
      </cdr:nvSpPr>
      <cdr:spPr>
        <a:xfrm xmlns:a="http://schemas.openxmlformats.org/drawingml/2006/main">
          <a:off x="1922585" y="0"/>
          <a:ext cx="3159758" cy="20515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bg-BG" sz="1000" b="1">
              <a:latin typeface="Times New Roman" pitchFamily="18" charset="0"/>
              <a:cs typeface="Times New Roman" pitchFamily="18" charset="0"/>
            </a:rPr>
            <a:t>Приходи</a:t>
          </a:r>
          <a:r>
            <a:rPr lang="bg-BG" sz="950" b="1" baseline="0">
              <a:latin typeface="Times New Roman" pitchFamily="18" charset="0"/>
              <a:cs typeface="Times New Roman" pitchFamily="18" charset="0"/>
            </a:rPr>
            <a:t> и помощи по КФП към БВП</a:t>
          </a:r>
          <a:endParaRPr lang="bg-BG" sz="95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0.53385</cdr:x>
      <cdr:y>0.03871</cdr:y>
    </cdr:from>
    <cdr:to>
      <cdr:x>0.6901</cdr:x>
      <cdr:y>0.10968</cdr:y>
    </cdr:to>
    <cdr:sp macro="" textlink="">
      <cdr:nvSpPr>
        <cdr:cNvPr id="2" name="TextBox 1"/>
        <cdr:cNvSpPr txBox="1"/>
      </cdr:nvSpPr>
      <cdr:spPr>
        <a:xfrm xmlns:a="http://schemas.openxmlformats.org/drawingml/2006/main">
          <a:off x="3124200" y="137160"/>
          <a:ext cx="914400" cy="2514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0.24089</cdr:x>
      <cdr:y>0.0258</cdr:y>
    </cdr:from>
    <cdr:to>
      <cdr:x>0.86198</cdr:x>
      <cdr:y>0.09247</cdr:y>
    </cdr:to>
    <cdr:sp macro="" textlink="">
      <cdr:nvSpPr>
        <cdr:cNvPr id="3" name="TextBox 2"/>
        <cdr:cNvSpPr txBox="1"/>
      </cdr:nvSpPr>
      <cdr:spPr>
        <a:xfrm xmlns:a="http://schemas.openxmlformats.org/drawingml/2006/main">
          <a:off x="1409700" y="91429"/>
          <a:ext cx="3634740" cy="2362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bg-BG" sz="1000" b="1">
              <a:latin typeface="Times New Roman" pitchFamily="18" charset="0"/>
              <a:cs typeface="Times New Roman" pitchFamily="18" charset="0"/>
            </a:rPr>
            <a:t>Разходи по КФП за 20</a:t>
          </a:r>
          <a:r>
            <a:rPr lang="en-US" sz="950" b="1">
              <a:latin typeface="Times New Roman" pitchFamily="18" charset="0"/>
              <a:cs typeface="Times New Roman" pitchFamily="18" charset="0"/>
            </a:rPr>
            <a:t>22</a:t>
          </a:r>
          <a:r>
            <a:rPr lang="bg-BG" sz="1000" b="1">
              <a:latin typeface="Times New Roman" pitchFamily="18" charset="0"/>
              <a:cs typeface="Times New Roman" pitchFamily="18" charset="0"/>
            </a:rPr>
            <a:t> г. и 202</a:t>
          </a:r>
          <a:r>
            <a:rPr lang="en-US" sz="1000" b="1">
              <a:latin typeface="Times New Roman" pitchFamily="18" charset="0"/>
              <a:cs typeface="Times New Roman" pitchFamily="18" charset="0"/>
            </a:rPr>
            <a:t>3</a:t>
          </a:r>
          <a:r>
            <a:rPr lang="bg-BG" sz="1000" b="1">
              <a:latin typeface="Times New Roman" pitchFamily="18" charset="0"/>
              <a:cs typeface="Times New Roman" pitchFamily="18" charset="0"/>
            </a:rPr>
            <a:t> г., като </a:t>
          </a:r>
          <a:r>
            <a:rPr lang="bg-BG" sz="900" b="1">
              <a:latin typeface="Times New Roman" pitchFamily="18" charset="0"/>
              <a:cs typeface="Times New Roman" pitchFamily="18" charset="0"/>
            </a:rPr>
            <a:t>отонсителен</a:t>
          </a:r>
          <a:r>
            <a:rPr lang="bg-BG" sz="1000" b="1">
              <a:latin typeface="Times New Roman" pitchFamily="18" charset="0"/>
              <a:cs typeface="Times New Roman" pitchFamily="18" charset="0"/>
            </a:rPr>
            <a:t> дял в БВП</a:t>
          </a:r>
        </a:p>
      </cdr:txBody>
    </cdr:sp>
  </cdr:relSizeAnchor>
</c:userShapes>
</file>

<file path=word/drawings/drawing3.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4BB4-EDB6-49FE-BFA1-7B628C39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33</Pages>
  <Words>18641</Words>
  <Characters>96876</Characters>
  <Application>Microsoft Office Word</Application>
  <DocSecurity>0</DocSecurity>
  <Lines>807</Lines>
  <Paragraphs>230</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КБПА ВД</cp:lastModifiedBy>
  <cp:revision>566</cp:revision>
  <cp:lastPrinted>2024-02-07T10:06:00Z</cp:lastPrinted>
  <dcterms:created xsi:type="dcterms:W3CDTF">2023-11-07T14:06:00Z</dcterms:created>
  <dcterms:modified xsi:type="dcterms:W3CDTF">2024-02-08T13:03:00Z</dcterms:modified>
</cp:coreProperties>
</file>